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CA" w:rsidRPr="00FF2DA7" w:rsidRDefault="00982ACA" w:rsidP="00AD47C3">
      <w:pPr>
        <w:spacing w:line="276" w:lineRule="auto"/>
        <w:jc w:val="center"/>
        <w:rPr>
          <w:rFonts w:ascii="Times New Roman" w:hAnsi="Times New Roman" w:cs="Times New Roman"/>
          <w:b/>
          <w:bCs/>
          <w:lang w:val="tr-TR"/>
        </w:rPr>
      </w:pPr>
      <w:bookmarkStart w:id="0" w:name="bookmark2"/>
      <w:bookmarkStart w:id="1" w:name="bookmark3"/>
      <w:bookmarkStart w:id="2" w:name="_GoBack"/>
      <w:bookmarkEnd w:id="2"/>
      <w:r w:rsidRPr="00FF2DA7">
        <w:rPr>
          <w:rFonts w:ascii="Times New Roman" w:hAnsi="Times New Roman" w:cs="Times New Roman"/>
          <w:b/>
          <w:bCs/>
          <w:lang w:val="tr-TR"/>
        </w:rPr>
        <w:t>AB COSME PROGRAMI</w:t>
      </w:r>
    </w:p>
    <w:p w:rsidR="00982ACA" w:rsidRPr="00FF2DA7" w:rsidRDefault="00982ACA" w:rsidP="00AD47C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F2DA7">
        <w:rPr>
          <w:rFonts w:ascii="Times New Roman" w:hAnsi="Times New Roman" w:cs="Times New Roman"/>
          <w:b/>
          <w:bCs/>
        </w:rPr>
        <w:t>“</w:t>
      </w:r>
      <w:r w:rsidR="006A63FB">
        <w:rPr>
          <w:rFonts w:ascii="Times New Roman" w:hAnsi="Times New Roman" w:cs="Times New Roman"/>
          <w:b/>
          <w:bCs/>
        </w:rPr>
        <w:t>Clusters Go International</w:t>
      </w:r>
      <w:r w:rsidR="007771FE">
        <w:rPr>
          <w:rFonts w:ascii="Times New Roman" w:hAnsi="Times New Roman" w:cs="Times New Roman"/>
          <w:sz w:val="21"/>
          <w:szCs w:val="21"/>
          <w:shd w:val="clear" w:color="auto" w:fill="FFFFFF"/>
        </w:rPr>
        <w:t>”</w:t>
      </w:r>
    </w:p>
    <w:p w:rsidR="00982ACA" w:rsidRPr="00FF2DA7" w:rsidRDefault="00982ACA" w:rsidP="00AD47C3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FF2DA7">
        <w:rPr>
          <w:rFonts w:ascii="Times New Roman" w:hAnsi="Times New Roman" w:cs="Times New Roman"/>
          <w:bCs/>
        </w:rPr>
        <w:t>Teklif Çağrısı</w:t>
      </w:r>
    </w:p>
    <w:p w:rsidR="00982ACA" w:rsidRPr="006A63FB" w:rsidRDefault="006A63FB" w:rsidP="006A63FB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6A63FB">
        <w:rPr>
          <w:rFonts w:ascii="Times New Roman" w:hAnsi="Times New Roman" w:cs="Times New Roman"/>
          <w:b/>
          <w:bCs/>
        </w:rPr>
        <w:t xml:space="preserve"> </w:t>
      </w:r>
      <w:r w:rsidRPr="006A63FB">
        <w:rPr>
          <w:rFonts w:ascii="Times New Roman" w:hAnsi="Times New Roman" w:cs="Times New Roman"/>
          <w:bCs/>
        </w:rPr>
        <w:t>COS-CLUSINT-2019-3-01</w:t>
      </w:r>
    </w:p>
    <w:p w:rsidR="00982ACA" w:rsidRPr="00FF2DA7" w:rsidRDefault="00982ACA" w:rsidP="00FF2DA7">
      <w:pPr>
        <w:spacing w:line="276" w:lineRule="auto"/>
        <w:rPr>
          <w:rFonts w:ascii="Times New Roman" w:hAnsi="Times New Roman" w:cs="Times New Roman"/>
          <w:b/>
          <w:bCs/>
          <w:szCs w:val="24"/>
          <w:lang w:val="tr-TR"/>
        </w:rPr>
      </w:pPr>
      <w:r w:rsidRPr="00FF2DA7">
        <w:rPr>
          <w:rFonts w:ascii="Times New Roman" w:hAnsi="Times New Roman" w:cs="Times New Roman"/>
          <w:b/>
          <w:bCs/>
          <w:szCs w:val="24"/>
          <w:lang w:val="tr-TR"/>
        </w:rPr>
        <w:t>Amacı ve Kapsamı:</w:t>
      </w:r>
      <w:bookmarkEnd w:id="0"/>
      <w:bookmarkEnd w:id="1"/>
    </w:p>
    <w:p w:rsidR="00982ACA" w:rsidRPr="00FF2DA7" w:rsidRDefault="00982ACA" w:rsidP="00416D28">
      <w:pPr>
        <w:spacing w:line="276" w:lineRule="auto"/>
        <w:jc w:val="both"/>
        <w:rPr>
          <w:rFonts w:ascii="Times New Roman" w:hAnsi="Times New Roman" w:cs="Times New Roman"/>
          <w:szCs w:val="24"/>
          <w:lang w:val="tr-TR"/>
        </w:rPr>
      </w:pPr>
      <w:r w:rsidRPr="00FF2DA7">
        <w:rPr>
          <w:rFonts w:ascii="Times New Roman" w:hAnsi="Times New Roman" w:cs="Times New Roman"/>
          <w:szCs w:val="24"/>
          <w:lang w:val="tr-TR"/>
        </w:rPr>
        <w:t>Avrupa Birliği’nin, EU 2020 adını verdiği 2020 yılına yönelik stratejisini tanımlayan ana politikalardan biri “Küreselleşen Çağ için Sanayi Politikası” olarak belirlenmiştir. Bu süreçte, AB ülkelerinde ekonomik faaliyette bulunan işletmelerin % 90’ından fazlasını temsil eden KOBİ’lere özel önem atfedilmektedir. Bu kapsamda Birlik tarafından, 2014-2020 yıllarını kapsayan kısaca COSME (İşletmelerin ve KOBİ’lerin Rekabet Edebilirliği Programı) olarak adlandırılan bir program ortaya konulmuştur. KOSGEB, COSME Programının ulusal koordinatörüdür.</w:t>
      </w:r>
    </w:p>
    <w:p w:rsidR="00982ACA" w:rsidRPr="00FF2DA7" w:rsidRDefault="00982ACA" w:rsidP="00FF2DA7">
      <w:pPr>
        <w:spacing w:line="276" w:lineRule="auto"/>
        <w:rPr>
          <w:rFonts w:ascii="Times New Roman" w:hAnsi="Times New Roman" w:cs="Times New Roman"/>
          <w:szCs w:val="24"/>
          <w:lang w:val="tr-TR"/>
        </w:rPr>
      </w:pPr>
      <w:r w:rsidRPr="00FF2DA7">
        <w:rPr>
          <w:rFonts w:ascii="Times New Roman" w:hAnsi="Times New Roman" w:cs="Times New Roman"/>
          <w:szCs w:val="24"/>
          <w:lang w:val="tr-TR"/>
        </w:rPr>
        <w:t>COSME programının bütçesi, ana eylemler olan;</w:t>
      </w:r>
    </w:p>
    <w:p w:rsidR="00982ACA" w:rsidRPr="00FF2DA7" w:rsidRDefault="00982ACA" w:rsidP="00FF2DA7">
      <w:pPr>
        <w:spacing w:line="276" w:lineRule="auto"/>
        <w:rPr>
          <w:rFonts w:ascii="Times New Roman" w:hAnsi="Times New Roman" w:cs="Times New Roman"/>
          <w:szCs w:val="24"/>
          <w:lang w:val="tr-TR"/>
        </w:rPr>
      </w:pPr>
      <w:r w:rsidRPr="00FF2DA7">
        <w:rPr>
          <w:rFonts w:ascii="Times New Roman" w:hAnsi="Times New Roman" w:cs="Times New Roman"/>
          <w:szCs w:val="24"/>
          <w:lang w:val="tr-TR"/>
        </w:rPr>
        <w:t>•</w:t>
      </w:r>
      <w:r w:rsidRPr="00FF2DA7">
        <w:rPr>
          <w:rFonts w:ascii="Times New Roman" w:hAnsi="Times New Roman" w:cs="Times New Roman"/>
          <w:szCs w:val="24"/>
          <w:lang w:val="tr-TR"/>
        </w:rPr>
        <w:tab/>
        <w:t>KOBİ'lerin finansmana erişiminin arttırılması,</w:t>
      </w:r>
    </w:p>
    <w:p w:rsidR="00982ACA" w:rsidRPr="00FF2DA7" w:rsidRDefault="00982ACA" w:rsidP="00FF2DA7">
      <w:pPr>
        <w:spacing w:line="276" w:lineRule="auto"/>
        <w:rPr>
          <w:rFonts w:ascii="Times New Roman" w:hAnsi="Times New Roman" w:cs="Times New Roman"/>
          <w:szCs w:val="24"/>
          <w:lang w:val="tr-TR"/>
        </w:rPr>
      </w:pPr>
      <w:r w:rsidRPr="00FF2DA7">
        <w:rPr>
          <w:rFonts w:ascii="Times New Roman" w:hAnsi="Times New Roman" w:cs="Times New Roman"/>
          <w:szCs w:val="24"/>
          <w:lang w:val="tr-TR"/>
        </w:rPr>
        <w:t>•</w:t>
      </w:r>
      <w:r w:rsidRPr="00FF2DA7">
        <w:rPr>
          <w:rFonts w:ascii="Times New Roman" w:hAnsi="Times New Roman" w:cs="Times New Roman"/>
          <w:szCs w:val="24"/>
          <w:lang w:val="tr-TR"/>
        </w:rPr>
        <w:tab/>
        <w:t>Pazarlara erişiminin iyileştirilmesi,</w:t>
      </w:r>
    </w:p>
    <w:p w:rsidR="00982ACA" w:rsidRPr="00FF2DA7" w:rsidRDefault="00982ACA" w:rsidP="00FF2DA7">
      <w:pPr>
        <w:spacing w:line="276" w:lineRule="auto"/>
        <w:rPr>
          <w:rFonts w:ascii="Times New Roman" w:hAnsi="Times New Roman" w:cs="Times New Roman"/>
          <w:szCs w:val="24"/>
          <w:lang w:val="tr-TR"/>
        </w:rPr>
      </w:pPr>
      <w:r w:rsidRPr="00FF2DA7">
        <w:rPr>
          <w:rFonts w:ascii="Times New Roman" w:hAnsi="Times New Roman" w:cs="Times New Roman"/>
          <w:szCs w:val="24"/>
          <w:lang w:val="tr-TR"/>
        </w:rPr>
        <w:t>•</w:t>
      </w:r>
      <w:r w:rsidRPr="00FF2DA7">
        <w:rPr>
          <w:rFonts w:ascii="Times New Roman" w:hAnsi="Times New Roman" w:cs="Times New Roman"/>
          <w:szCs w:val="24"/>
          <w:lang w:val="tr-TR"/>
        </w:rPr>
        <w:tab/>
        <w:t>Çerçeve koşulların geliştirilmesi ve</w:t>
      </w:r>
    </w:p>
    <w:p w:rsidR="00982ACA" w:rsidRPr="00FF2DA7" w:rsidRDefault="00982ACA" w:rsidP="00FF2DA7">
      <w:pPr>
        <w:spacing w:line="276" w:lineRule="auto"/>
        <w:rPr>
          <w:rFonts w:ascii="Times New Roman" w:hAnsi="Times New Roman" w:cs="Times New Roman"/>
          <w:szCs w:val="24"/>
          <w:lang w:val="tr-TR"/>
        </w:rPr>
      </w:pPr>
      <w:r w:rsidRPr="00FF2DA7">
        <w:rPr>
          <w:rFonts w:ascii="Times New Roman" w:hAnsi="Times New Roman" w:cs="Times New Roman"/>
          <w:szCs w:val="24"/>
          <w:lang w:val="tr-TR"/>
        </w:rPr>
        <w:t>•</w:t>
      </w:r>
      <w:r w:rsidRPr="00FF2DA7">
        <w:rPr>
          <w:rFonts w:ascii="Times New Roman" w:hAnsi="Times New Roman" w:cs="Times New Roman"/>
          <w:szCs w:val="24"/>
          <w:lang w:val="tr-TR"/>
        </w:rPr>
        <w:tab/>
        <w:t>Girişimciliğin teşvik edilmesi</w:t>
      </w:r>
    </w:p>
    <w:p w:rsidR="00982ACA" w:rsidRPr="00FF2DA7" w:rsidRDefault="00982ACA" w:rsidP="00FF2DA7">
      <w:pPr>
        <w:spacing w:line="276" w:lineRule="auto"/>
        <w:rPr>
          <w:rFonts w:ascii="Times New Roman" w:hAnsi="Times New Roman" w:cs="Times New Roman"/>
          <w:szCs w:val="24"/>
          <w:lang w:val="tr-TR"/>
        </w:rPr>
      </w:pPr>
      <w:r w:rsidRPr="00FF2DA7">
        <w:rPr>
          <w:rFonts w:ascii="Times New Roman" w:hAnsi="Times New Roman" w:cs="Times New Roman"/>
          <w:szCs w:val="24"/>
          <w:lang w:val="tr-TR"/>
        </w:rPr>
        <w:t>amacıyla 7 yıl için 2,3 milyar AVRO olarak belirlenmiştir.</w:t>
      </w:r>
    </w:p>
    <w:p w:rsidR="00982ACA" w:rsidRPr="00FF2DA7" w:rsidRDefault="00FF2DA7" w:rsidP="00441AFF">
      <w:pPr>
        <w:spacing w:line="276" w:lineRule="auto"/>
        <w:rPr>
          <w:rFonts w:ascii="Times New Roman" w:hAnsi="Times New Roman" w:cs="Times New Roman"/>
          <w:b/>
          <w:szCs w:val="24"/>
          <w:lang w:val="tr-TR"/>
        </w:rPr>
      </w:pPr>
      <w:r w:rsidRPr="00FF2DA7">
        <w:rPr>
          <w:rFonts w:ascii="Times New Roman" w:hAnsi="Times New Roman" w:cs="Times New Roman"/>
          <w:b/>
          <w:szCs w:val="24"/>
          <w:lang w:val="tr-TR"/>
        </w:rPr>
        <w:t>Çağrının Amacı ve Kapsamı</w:t>
      </w:r>
    </w:p>
    <w:p w:rsidR="002840F4" w:rsidRDefault="00FE49E3" w:rsidP="00740E61">
      <w:pPr>
        <w:pStyle w:val="Gvdemetni0"/>
        <w:spacing w:after="260" w:line="276" w:lineRule="auto"/>
        <w:jc w:val="both"/>
        <w:rPr>
          <w:bCs/>
          <w:szCs w:val="24"/>
          <w:lang w:val="tr-TR"/>
        </w:rPr>
      </w:pPr>
      <w:r w:rsidRPr="00CC4DC0">
        <w:rPr>
          <w:bCs/>
          <w:szCs w:val="24"/>
          <w:lang w:val="tr-TR"/>
        </w:rPr>
        <w:t>Çağrının</w:t>
      </w:r>
      <w:r w:rsidR="00697A6B" w:rsidRPr="00CC4DC0">
        <w:rPr>
          <w:bCs/>
          <w:szCs w:val="24"/>
          <w:lang w:val="tr-TR"/>
        </w:rPr>
        <w:t xml:space="preserve"> temel</w:t>
      </w:r>
      <w:r w:rsidRPr="00CC4DC0">
        <w:rPr>
          <w:bCs/>
          <w:szCs w:val="24"/>
          <w:lang w:val="tr-TR"/>
        </w:rPr>
        <w:t xml:space="preserve"> amacı</w:t>
      </w:r>
      <w:r w:rsidR="00697A6B" w:rsidRPr="00CC4DC0">
        <w:rPr>
          <w:bCs/>
          <w:szCs w:val="24"/>
          <w:lang w:val="tr-TR"/>
        </w:rPr>
        <w:t xml:space="preserve"> sektörel ve coğrafi sınırlara bağlı kalmadan</w:t>
      </w:r>
      <w:r w:rsidR="0061277C" w:rsidRPr="00CC4DC0">
        <w:rPr>
          <w:bCs/>
          <w:szCs w:val="24"/>
          <w:lang w:val="tr-TR"/>
        </w:rPr>
        <w:t xml:space="preserve"> </w:t>
      </w:r>
      <w:r w:rsidR="00FE16FB" w:rsidRPr="00CC4DC0">
        <w:rPr>
          <w:bCs/>
          <w:szCs w:val="24"/>
          <w:lang w:val="tr-TR"/>
        </w:rPr>
        <w:t>kümeler ve iş ağları arasındaki iş birliğini güçlendirmek</w:t>
      </w:r>
      <w:r w:rsidR="00697A6B" w:rsidRPr="00CC4DC0">
        <w:rPr>
          <w:bCs/>
          <w:szCs w:val="24"/>
          <w:lang w:val="tr-TR"/>
        </w:rPr>
        <w:t xml:space="preserve">tir. </w:t>
      </w:r>
      <w:r w:rsidR="00CC4DC0" w:rsidRPr="00CC4DC0">
        <w:rPr>
          <w:bCs/>
          <w:szCs w:val="24"/>
          <w:lang w:val="tr-TR"/>
        </w:rPr>
        <w:t xml:space="preserve">Bu çağrı ile Avrupa Stratejik Küme Ortaklığı’nın kurulması desteklenecek ve </w:t>
      </w:r>
      <w:r w:rsidR="00740E61">
        <w:rPr>
          <w:bCs/>
          <w:szCs w:val="24"/>
          <w:lang w:val="tr-TR"/>
        </w:rPr>
        <w:t>ayrıca</w:t>
      </w:r>
      <w:r w:rsidR="002840F4">
        <w:rPr>
          <w:bCs/>
          <w:szCs w:val="24"/>
          <w:lang w:val="tr-TR"/>
        </w:rPr>
        <w:t xml:space="preserve"> </w:t>
      </w:r>
      <w:r w:rsidR="00CC4DC0" w:rsidRPr="00CC4DC0">
        <w:rPr>
          <w:bCs/>
          <w:szCs w:val="24"/>
          <w:lang w:val="tr-TR"/>
        </w:rPr>
        <w:t xml:space="preserve">Avrupa dışındaki ülkelere </w:t>
      </w:r>
      <w:r w:rsidR="002840F4">
        <w:rPr>
          <w:bCs/>
          <w:szCs w:val="24"/>
          <w:lang w:val="tr-TR"/>
        </w:rPr>
        <w:t xml:space="preserve">olan stratejik ilgi </w:t>
      </w:r>
      <w:r w:rsidR="00441AFF">
        <w:rPr>
          <w:bCs/>
          <w:szCs w:val="24"/>
          <w:lang w:val="tr-TR"/>
        </w:rPr>
        <w:t xml:space="preserve">artacaktır. </w:t>
      </w:r>
    </w:p>
    <w:p w:rsidR="002840F4" w:rsidRPr="002840F4" w:rsidRDefault="002840F4" w:rsidP="00740E61">
      <w:pPr>
        <w:pStyle w:val="Gvdemetni0"/>
        <w:spacing w:after="260" w:line="276" w:lineRule="auto"/>
        <w:jc w:val="both"/>
        <w:rPr>
          <w:bCs/>
          <w:szCs w:val="24"/>
          <w:lang w:val="tr-TR"/>
        </w:rPr>
      </w:pPr>
      <w:r w:rsidRPr="002840F4">
        <w:rPr>
          <w:bCs/>
          <w:szCs w:val="24"/>
          <w:lang w:val="tr-TR"/>
        </w:rPr>
        <w:t>Bu çağrı kapsamında isteyen konsorsiyumlar kendilerine uluslararası b</w:t>
      </w:r>
      <w:r w:rsidR="00441AFF">
        <w:rPr>
          <w:bCs/>
          <w:szCs w:val="24"/>
          <w:lang w:val="tr-TR"/>
        </w:rPr>
        <w:t>ir strateji belirleyip</w:t>
      </w:r>
      <w:r w:rsidRPr="002840F4">
        <w:rPr>
          <w:bCs/>
          <w:szCs w:val="24"/>
          <w:lang w:val="tr-TR"/>
        </w:rPr>
        <w:t xml:space="preserve"> uygulayabilecek</w:t>
      </w:r>
      <w:r w:rsidR="008D223D">
        <w:rPr>
          <w:bCs/>
          <w:szCs w:val="24"/>
          <w:lang w:val="tr-TR"/>
        </w:rPr>
        <w:t xml:space="preserve"> ve</w:t>
      </w:r>
      <w:r w:rsidRPr="002840F4">
        <w:rPr>
          <w:bCs/>
          <w:szCs w:val="24"/>
          <w:lang w:val="tr-TR"/>
        </w:rPr>
        <w:t xml:space="preserve"> yeni marketler için ortak hedefler belirleyebilecek</w:t>
      </w:r>
      <w:r w:rsidR="00740E61">
        <w:rPr>
          <w:bCs/>
          <w:szCs w:val="24"/>
          <w:lang w:val="tr-TR"/>
        </w:rPr>
        <w:t>tir</w:t>
      </w:r>
      <w:r w:rsidRPr="002840F4">
        <w:rPr>
          <w:bCs/>
          <w:szCs w:val="24"/>
          <w:lang w:val="tr-TR"/>
        </w:rPr>
        <w:t>.</w:t>
      </w:r>
      <w:r w:rsidR="008D223D">
        <w:rPr>
          <w:bCs/>
          <w:szCs w:val="24"/>
          <w:lang w:val="tr-TR"/>
        </w:rPr>
        <w:t xml:space="preserve"> Bu sayede</w:t>
      </w:r>
      <w:r w:rsidRPr="002840F4">
        <w:rPr>
          <w:bCs/>
          <w:szCs w:val="24"/>
          <w:lang w:val="tr-TR"/>
        </w:rPr>
        <w:t xml:space="preserve"> </w:t>
      </w:r>
      <w:r w:rsidR="008D223D">
        <w:rPr>
          <w:bCs/>
          <w:szCs w:val="24"/>
          <w:lang w:val="tr-TR"/>
        </w:rPr>
        <w:t>Avrupa dışındaki ülkelerde bulunan KOBİ’leri de içine alan uluslararası bir iş birliği</w:t>
      </w:r>
      <w:r w:rsidR="00882888">
        <w:rPr>
          <w:bCs/>
          <w:szCs w:val="24"/>
          <w:lang w:val="tr-TR"/>
        </w:rPr>
        <w:t xml:space="preserve"> ağı</w:t>
      </w:r>
      <w:r w:rsidR="008D223D">
        <w:rPr>
          <w:bCs/>
          <w:szCs w:val="24"/>
          <w:lang w:val="tr-TR"/>
        </w:rPr>
        <w:t xml:space="preserve"> sağlanacak</w:t>
      </w:r>
      <w:r w:rsidR="00E1208C">
        <w:rPr>
          <w:bCs/>
          <w:szCs w:val="24"/>
          <w:lang w:val="tr-TR"/>
        </w:rPr>
        <w:t>tır</w:t>
      </w:r>
      <w:r w:rsidR="008D223D">
        <w:rPr>
          <w:bCs/>
          <w:szCs w:val="24"/>
          <w:lang w:val="tr-TR"/>
        </w:rPr>
        <w:t xml:space="preserve">. </w:t>
      </w:r>
      <w:r w:rsidR="00441AFF">
        <w:rPr>
          <w:bCs/>
          <w:szCs w:val="24"/>
          <w:lang w:val="tr-TR"/>
        </w:rPr>
        <w:t xml:space="preserve">Ayrıca, </w:t>
      </w:r>
      <w:r w:rsidR="00657154">
        <w:rPr>
          <w:bCs/>
          <w:szCs w:val="24"/>
          <w:lang w:val="tr-TR"/>
        </w:rPr>
        <w:t>Avrupa’da bulunan KOBİ’ler</w:t>
      </w:r>
      <w:r w:rsidR="00CB7AE0">
        <w:rPr>
          <w:bCs/>
          <w:szCs w:val="24"/>
          <w:lang w:val="tr-TR"/>
        </w:rPr>
        <w:t xml:space="preserve"> yeni küresel değer zincirlerine ulaşabilecek ve küresel anl</w:t>
      </w:r>
      <w:r w:rsidR="00E1208C">
        <w:rPr>
          <w:bCs/>
          <w:szCs w:val="24"/>
          <w:lang w:val="tr-TR"/>
        </w:rPr>
        <w:t>amda lider bir konuma gelebilecekler</w:t>
      </w:r>
      <w:r w:rsidR="006C715C">
        <w:rPr>
          <w:bCs/>
          <w:szCs w:val="24"/>
          <w:lang w:val="tr-TR"/>
        </w:rPr>
        <w:t>dir</w:t>
      </w:r>
      <w:r w:rsidR="00CB7AE0">
        <w:rPr>
          <w:bCs/>
          <w:szCs w:val="24"/>
          <w:lang w:val="tr-TR"/>
        </w:rPr>
        <w:t xml:space="preserve">. </w:t>
      </w:r>
      <w:r w:rsidR="00657154">
        <w:rPr>
          <w:bCs/>
          <w:szCs w:val="24"/>
          <w:lang w:val="tr-TR"/>
        </w:rPr>
        <w:t xml:space="preserve"> </w:t>
      </w:r>
    </w:p>
    <w:p w:rsidR="00C5119A" w:rsidRDefault="00C5119A" w:rsidP="00740E61">
      <w:pPr>
        <w:pStyle w:val="Gvdemetni0"/>
        <w:shd w:val="clear" w:color="auto" w:fill="auto"/>
        <w:spacing w:after="260" w:line="276" w:lineRule="auto"/>
        <w:jc w:val="both"/>
        <w:rPr>
          <w:bCs/>
          <w:szCs w:val="24"/>
          <w:lang w:val="tr-TR"/>
        </w:rPr>
      </w:pPr>
    </w:p>
    <w:p w:rsidR="00C5119A" w:rsidRDefault="00C5119A" w:rsidP="00740E61">
      <w:pPr>
        <w:pStyle w:val="Gvdemetni0"/>
        <w:shd w:val="clear" w:color="auto" w:fill="auto"/>
        <w:spacing w:after="260" w:line="276" w:lineRule="auto"/>
        <w:jc w:val="both"/>
        <w:rPr>
          <w:bCs/>
          <w:szCs w:val="24"/>
          <w:lang w:val="tr-TR"/>
        </w:rPr>
      </w:pPr>
    </w:p>
    <w:p w:rsidR="00C5119A" w:rsidRDefault="00C5119A" w:rsidP="00740E61">
      <w:pPr>
        <w:pStyle w:val="Gvdemetni0"/>
        <w:shd w:val="clear" w:color="auto" w:fill="auto"/>
        <w:spacing w:after="260" w:line="276" w:lineRule="auto"/>
        <w:jc w:val="both"/>
        <w:rPr>
          <w:bCs/>
          <w:szCs w:val="24"/>
          <w:lang w:val="tr-TR"/>
        </w:rPr>
      </w:pPr>
    </w:p>
    <w:p w:rsidR="00C5119A" w:rsidRDefault="00C5119A" w:rsidP="00740E61">
      <w:pPr>
        <w:pStyle w:val="Gvdemetni0"/>
        <w:shd w:val="clear" w:color="auto" w:fill="auto"/>
        <w:spacing w:after="260" w:line="276" w:lineRule="auto"/>
        <w:jc w:val="both"/>
        <w:rPr>
          <w:bCs/>
          <w:szCs w:val="24"/>
          <w:lang w:val="tr-TR"/>
        </w:rPr>
      </w:pPr>
    </w:p>
    <w:p w:rsidR="00C5119A" w:rsidRDefault="00C5119A" w:rsidP="00740E61">
      <w:pPr>
        <w:pStyle w:val="Gvdemetni0"/>
        <w:shd w:val="clear" w:color="auto" w:fill="auto"/>
        <w:spacing w:after="260" w:line="276" w:lineRule="auto"/>
        <w:jc w:val="both"/>
        <w:rPr>
          <w:bCs/>
          <w:szCs w:val="24"/>
          <w:lang w:val="tr-TR"/>
        </w:rPr>
      </w:pPr>
    </w:p>
    <w:p w:rsidR="00C5119A" w:rsidRDefault="00C5119A" w:rsidP="00740E61">
      <w:pPr>
        <w:pStyle w:val="Gvdemetni0"/>
        <w:shd w:val="clear" w:color="auto" w:fill="auto"/>
        <w:spacing w:after="260" w:line="276" w:lineRule="auto"/>
        <w:jc w:val="both"/>
        <w:rPr>
          <w:bCs/>
          <w:szCs w:val="24"/>
          <w:lang w:val="tr-TR"/>
        </w:rPr>
      </w:pPr>
    </w:p>
    <w:p w:rsidR="00DE10DA" w:rsidRDefault="00882888" w:rsidP="00740E61">
      <w:pPr>
        <w:pStyle w:val="Gvdemetni0"/>
        <w:shd w:val="clear" w:color="auto" w:fill="auto"/>
        <w:spacing w:after="260" w:line="276" w:lineRule="auto"/>
        <w:jc w:val="both"/>
        <w:rPr>
          <w:bCs/>
          <w:szCs w:val="24"/>
          <w:lang w:val="tr-TR"/>
        </w:rPr>
      </w:pPr>
      <w:r w:rsidRPr="00882888">
        <w:rPr>
          <w:bCs/>
          <w:szCs w:val="24"/>
          <w:lang w:val="tr-TR"/>
        </w:rPr>
        <w:lastRenderedPageBreak/>
        <w:t>Mevcut çağrı</w:t>
      </w:r>
      <w:r w:rsidR="007B71E0">
        <w:rPr>
          <w:bCs/>
          <w:szCs w:val="24"/>
          <w:lang w:val="tr-TR"/>
        </w:rPr>
        <w:t>, Hazırlık ve Uygulama olmak üzere</w:t>
      </w:r>
      <w:r w:rsidRPr="00882888">
        <w:rPr>
          <w:bCs/>
          <w:szCs w:val="24"/>
          <w:lang w:val="tr-TR"/>
        </w:rPr>
        <w:t xml:space="preserve"> iki ana evreye ve</w:t>
      </w:r>
      <w:r w:rsidR="007B71E0">
        <w:rPr>
          <w:bCs/>
          <w:szCs w:val="24"/>
          <w:lang w:val="tr-TR"/>
        </w:rPr>
        <w:t xml:space="preserve"> bunların altında bulunan</w:t>
      </w:r>
      <w:r w:rsidR="006A63FB">
        <w:rPr>
          <w:bCs/>
          <w:szCs w:val="24"/>
          <w:lang w:val="tr-TR"/>
        </w:rPr>
        <w:t xml:space="preserve"> üç aşamaya bölünmüştür:</w:t>
      </w:r>
    </w:p>
    <w:p w:rsidR="007B71E0" w:rsidRPr="00740E61" w:rsidRDefault="007B71E0" w:rsidP="00740E61">
      <w:pPr>
        <w:pStyle w:val="Gvdemetni0"/>
        <w:numPr>
          <w:ilvl w:val="0"/>
          <w:numId w:val="7"/>
        </w:numPr>
        <w:spacing w:after="260" w:line="276" w:lineRule="auto"/>
        <w:jc w:val="both"/>
        <w:rPr>
          <w:b/>
          <w:bCs/>
          <w:szCs w:val="24"/>
          <w:u w:val="single"/>
          <w:lang w:val="tr-TR"/>
        </w:rPr>
      </w:pPr>
      <w:r w:rsidRPr="00740E61">
        <w:rPr>
          <w:b/>
          <w:bCs/>
          <w:szCs w:val="24"/>
          <w:u w:val="single"/>
          <w:lang w:val="tr-TR"/>
        </w:rPr>
        <w:t>Hazırlık Evresi</w:t>
      </w:r>
    </w:p>
    <w:p w:rsidR="007B71E0" w:rsidRDefault="002D68DC" w:rsidP="00740E61">
      <w:pPr>
        <w:pStyle w:val="Gvdemetni0"/>
        <w:numPr>
          <w:ilvl w:val="0"/>
          <w:numId w:val="5"/>
        </w:numPr>
        <w:spacing w:after="260" w:line="276" w:lineRule="auto"/>
        <w:jc w:val="both"/>
        <w:rPr>
          <w:bCs/>
          <w:szCs w:val="24"/>
          <w:lang w:val="tr-TR"/>
        </w:rPr>
      </w:pPr>
      <w:r w:rsidRPr="00A26C02">
        <w:rPr>
          <w:b/>
          <w:bCs/>
          <w:szCs w:val="24"/>
          <w:lang w:val="tr-TR"/>
        </w:rPr>
        <w:t>Aşama 1</w:t>
      </w:r>
      <w:r w:rsidR="00882888" w:rsidRPr="00A26C02">
        <w:rPr>
          <w:b/>
          <w:bCs/>
          <w:szCs w:val="24"/>
          <w:lang w:val="tr-TR"/>
        </w:rPr>
        <w:t>:</w:t>
      </w:r>
      <w:r w:rsidR="00882888" w:rsidRPr="007B71E0">
        <w:rPr>
          <w:bCs/>
          <w:szCs w:val="24"/>
          <w:lang w:val="tr-TR"/>
        </w:rPr>
        <w:t> </w:t>
      </w:r>
      <w:r w:rsidR="00441AFF">
        <w:rPr>
          <w:bCs/>
          <w:szCs w:val="24"/>
          <w:lang w:val="tr-TR"/>
        </w:rPr>
        <w:t>Bu aşama çerçevesinde</w:t>
      </w:r>
      <w:r w:rsidR="00740E61" w:rsidRPr="00740E61">
        <w:rPr>
          <w:rFonts w:asciiTheme="minorHAnsi" w:eastAsiaTheme="minorHAnsi" w:hAnsiTheme="minorHAnsi" w:cstheme="minorBidi"/>
          <w:color w:val="000000"/>
          <w:lang w:val="tr-TR"/>
        </w:rPr>
        <w:t xml:space="preserve"> </w:t>
      </w:r>
      <w:r w:rsidR="00740E61" w:rsidRPr="00740E61">
        <w:rPr>
          <w:bCs/>
          <w:szCs w:val="24"/>
          <w:lang w:val="tr-TR"/>
        </w:rPr>
        <w:t>European Strategic Cluster Partnership – Going International (ESCP-4i)</w:t>
      </w:r>
      <w:r w:rsidR="00740E61">
        <w:rPr>
          <w:bCs/>
          <w:szCs w:val="24"/>
          <w:lang w:val="tr-TR"/>
        </w:rPr>
        <w:t>’ın farklı</w:t>
      </w:r>
      <w:r w:rsidR="00441AFF">
        <w:rPr>
          <w:bCs/>
          <w:szCs w:val="24"/>
          <w:lang w:val="tr-TR"/>
        </w:rPr>
        <w:t xml:space="preserve"> s</w:t>
      </w:r>
      <w:r w:rsidR="00740E61">
        <w:rPr>
          <w:bCs/>
          <w:szCs w:val="24"/>
          <w:lang w:val="tr-TR"/>
        </w:rPr>
        <w:t>ektörleri ve değer zincirlerini kapsayacak bir şekilde</w:t>
      </w:r>
      <w:r w:rsidR="00441AFF">
        <w:rPr>
          <w:bCs/>
          <w:szCs w:val="24"/>
          <w:lang w:val="tr-TR"/>
        </w:rPr>
        <w:t xml:space="preserve"> </w:t>
      </w:r>
      <w:r>
        <w:rPr>
          <w:bCs/>
          <w:szCs w:val="24"/>
          <w:lang w:val="tr-TR"/>
        </w:rPr>
        <w:t>kurulması</w:t>
      </w:r>
      <w:r w:rsidRPr="002D68DC">
        <w:rPr>
          <w:bCs/>
          <w:szCs w:val="24"/>
          <w:lang w:val="tr-TR"/>
        </w:rPr>
        <w:t xml:space="preserve"> desteklenec</w:t>
      </w:r>
      <w:r>
        <w:rPr>
          <w:bCs/>
          <w:szCs w:val="24"/>
          <w:lang w:val="tr-TR"/>
        </w:rPr>
        <w:t>ek</w:t>
      </w:r>
      <w:r w:rsidR="00CA3F5A">
        <w:rPr>
          <w:bCs/>
          <w:szCs w:val="24"/>
          <w:lang w:val="tr-TR"/>
        </w:rPr>
        <w:t>tir</w:t>
      </w:r>
      <w:r>
        <w:rPr>
          <w:bCs/>
          <w:szCs w:val="24"/>
          <w:lang w:val="tr-TR"/>
        </w:rPr>
        <w:t>.</w:t>
      </w:r>
    </w:p>
    <w:p w:rsidR="00882888" w:rsidRPr="00740E61" w:rsidRDefault="002D68DC" w:rsidP="00740E61">
      <w:pPr>
        <w:pStyle w:val="Gvdemetni0"/>
        <w:numPr>
          <w:ilvl w:val="0"/>
          <w:numId w:val="7"/>
        </w:numPr>
        <w:spacing w:after="260" w:line="276" w:lineRule="auto"/>
        <w:jc w:val="both"/>
        <w:rPr>
          <w:b/>
          <w:bCs/>
          <w:szCs w:val="24"/>
          <w:u w:val="single"/>
          <w:lang w:val="tr-TR"/>
        </w:rPr>
      </w:pPr>
      <w:r w:rsidRPr="00740E61">
        <w:rPr>
          <w:b/>
          <w:bCs/>
          <w:szCs w:val="24"/>
          <w:u w:val="single"/>
          <w:lang w:val="tr-TR"/>
        </w:rPr>
        <w:t>Uygulama Evresi</w:t>
      </w:r>
    </w:p>
    <w:p w:rsidR="002D68DC" w:rsidRPr="00372865" w:rsidRDefault="002D68DC" w:rsidP="00740E61">
      <w:pPr>
        <w:pStyle w:val="Gvdemetni0"/>
        <w:numPr>
          <w:ilvl w:val="0"/>
          <w:numId w:val="6"/>
        </w:numPr>
        <w:spacing w:after="260" w:line="276" w:lineRule="auto"/>
        <w:jc w:val="both"/>
        <w:rPr>
          <w:bCs/>
          <w:szCs w:val="24"/>
          <w:lang w:val="tr-TR"/>
        </w:rPr>
      </w:pPr>
      <w:r w:rsidRPr="00372865">
        <w:rPr>
          <w:b/>
          <w:bCs/>
          <w:szCs w:val="24"/>
          <w:lang w:val="tr-TR"/>
        </w:rPr>
        <w:t>Aşama 2.a</w:t>
      </w:r>
      <w:r w:rsidR="00882888" w:rsidRPr="00372865">
        <w:rPr>
          <w:b/>
          <w:bCs/>
          <w:szCs w:val="24"/>
          <w:lang w:val="tr-TR"/>
        </w:rPr>
        <w:t>:</w:t>
      </w:r>
      <w:r w:rsidR="00882888" w:rsidRPr="00372865">
        <w:rPr>
          <w:bCs/>
          <w:szCs w:val="24"/>
          <w:lang w:val="tr-TR"/>
        </w:rPr>
        <w:t> </w:t>
      </w:r>
      <w:r w:rsidR="00441AFF">
        <w:rPr>
          <w:bCs/>
          <w:szCs w:val="24"/>
          <w:lang w:val="tr-TR"/>
        </w:rPr>
        <w:t xml:space="preserve">Bu aşama çerçevesinde </w:t>
      </w:r>
      <w:r w:rsidRPr="00372865">
        <w:rPr>
          <w:bCs/>
          <w:szCs w:val="24"/>
          <w:lang w:val="tr-TR"/>
        </w:rPr>
        <w:t xml:space="preserve">Aşama </w:t>
      </w:r>
      <w:r w:rsidR="008620D2" w:rsidRPr="00372865">
        <w:rPr>
          <w:bCs/>
          <w:szCs w:val="24"/>
          <w:lang w:val="tr-TR"/>
        </w:rPr>
        <w:t>2. b’de</w:t>
      </w:r>
      <w:r w:rsidRPr="00372865">
        <w:rPr>
          <w:bCs/>
          <w:szCs w:val="24"/>
          <w:lang w:val="tr-TR"/>
        </w:rPr>
        <w:t xml:space="preserve"> belirtilen sektörler hariç her sektörde </w:t>
      </w:r>
      <w:r w:rsidR="00EC5CBC" w:rsidRPr="00372865">
        <w:rPr>
          <w:bCs/>
          <w:szCs w:val="24"/>
          <w:lang w:val="tr-TR"/>
        </w:rPr>
        <w:t xml:space="preserve">ve değer zincirinde </w:t>
      </w:r>
      <w:r w:rsidR="008620D2" w:rsidRPr="00372865">
        <w:rPr>
          <w:color w:val="000000"/>
          <w:lang w:val="tr-TR"/>
        </w:rPr>
        <w:t>European Strategic Cluster Partnership – Going International (ESCP-4i)</w:t>
      </w:r>
      <w:r w:rsidR="00D66B57">
        <w:rPr>
          <w:color w:val="000000"/>
          <w:lang w:val="tr-TR"/>
        </w:rPr>
        <w:t xml:space="preserve"> çerçevesinde </w:t>
      </w:r>
      <w:r w:rsidR="00D66B57">
        <w:rPr>
          <w:bCs/>
          <w:szCs w:val="24"/>
          <w:lang w:val="tr-TR"/>
        </w:rPr>
        <w:t>ilk uygulamaların</w:t>
      </w:r>
      <w:r w:rsidR="008620D2" w:rsidRPr="00372865">
        <w:rPr>
          <w:bCs/>
          <w:szCs w:val="24"/>
          <w:lang w:val="tr-TR"/>
        </w:rPr>
        <w:t xml:space="preserve"> yapılması, bunların test edilmesi ve geliştirilmesi </w:t>
      </w:r>
      <w:r w:rsidR="00EC5CBC" w:rsidRPr="00372865">
        <w:rPr>
          <w:bCs/>
          <w:szCs w:val="24"/>
          <w:lang w:val="tr-TR"/>
        </w:rPr>
        <w:t>desteklenecek</w:t>
      </w:r>
      <w:r w:rsidR="00CA3F5A">
        <w:rPr>
          <w:bCs/>
          <w:szCs w:val="24"/>
          <w:lang w:val="tr-TR"/>
        </w:rPr>
        <w:t>tir</w:t>
      </w:r>
      <w:r w:rsidR="00EC5CBC" w:rsidRPr="00372865">
        <w:rPr>
          <w:bCs/>
          <w:szCs w:val="24"/>
          <w:lang w:val="tr-TR"/>
        </w:rPr>
        <w:t>.</w:t>
      </w:r>
    </w:p>
    <w:p w:rsidR="008620D2" w:rsidRPr="00372865" w:rsidRDefault="00EC5CBC" w:rsidP="00740E61">
      <w:pPr>
        <w:pStyle w:val="Gvdemetni0"/>
        <w:numPr>
          <w:ilvl w:val="0"/>
          <w:numId w:val="6"/>
        </w:numPr>
        <w:spacing w:after="260" w:line="276" w:lineRule="auto"/>
        <w:jc w:val="both"/>
        <w:rPr>
          <w:bCs/>
          <w:szCs w:val="24"/>
          <w:lang w:val="tr-TR"/>
        </w:rPr>
      </w:pPr>
      <w:r w:rsidRPr="00372865">
        <w:rPr>
          <w:b/>
          <w:bCs/>
          <w:szCs w:val="24"/>
          <w:lang w:val="tr-TR"/>
        </w:rPr>
        <w:t>Aşama 2.b:</w:t>
      </w:r>
      <w:r w:rsidRPr="00372865">
        <w:rPr>
          <w:bCs/>
          <w:szCs w:val="24"/>
          <w:lang w:val="tr-TR"/>
        </w:rPr>
        <w:t xml:space="preserve"> </w:t>
      </w:r>
      <w:r w:rsidR="00E1208C">
        <w:rPr>
          <w:bCs/>
          <w:szCs w:val="24"/>
          <w:lang w:val="tr-TR"/>
        </w:rPr>
        <w:t xml:space="preserve">Bu aşama çerçevesinde </w:t>
      </w:r>
      <w:r w:rsidR="00441AFF">
        <w:rPr>
          <w:bCs/>
          <w:szCs w:val="24"/>
          <w:lang w:val="tr-TR"/>
        </w:rPr>
        <w:t>Uzay sektöründe</w:t>
      </w:r>
      <w:r w:rsidR="00372865" w:rsidRPr="00372865">
        <w:rPr>
          <w:bCs/>
          <w:szCs w:val="24"/>
          <w:lang w:val="tr-TR"/>
        </w:rPr>
        <w:t xml:space="preserve"> ve</w:t>
      </w:r>
      <w:r w:rsidR="008620D2" w:rsidRPr="00372865">
        <w:rPr>
          <w:bCs/>
          <w:szCs w:val="24"/>
          <w:lang w:val="tr-TR"/>
        </w:rPr>
        <w:t xml:space="preserve"> Dijital uygulamalarla ilgili sektörlerde European Strategic Cluster Partnership – Going International (ESCP-4i)</w:t>
      </w:r>
      <w:r w:rsidR="00E1208C">
        <w:rPr>
          <w:bCs/>
          <w:szCs w:val="24"/>
          <w:lang w:val="tr-TR"/>
        </w:rPr>
        <w:t xml:space="preserve"> çerçevesinde ilk</w:t>
      </w:r>
      <w:r w:rsidR="00D66B57">
        <w:rPr>
          <w:bCs/>
          <w:szCs w:val="24"/>
          <w:lang w:val="tr-TR"/>
        </w:rPr>
        <w:t xml:space="preserve"> uygulamaların</w:t>
      </w:r>
      <w:r w:rsidR="008620D2" w:rsidRPr="00372865">
        <w:rPr>
          <w:bCs/>
          <w:szCs w:val="24"/>
          <w:lang w:val="tr-TR"/>
        </w:rPr>
        <w:t xml:space="preserve"> ya</w:t>
      </w:r>
      <w:r w:rsidR="00CA3F5A">
        <w:rPr>
          <w:bCs/>
          <w:szCs w:val="24"/>
          <w:lang w:val="tr-TR"/>
        </w:rPr>
        <w:t>pılması, bunların test edilmesi, geliştirilmesi ve ö</w:t>
      </w:r>
      <w:r w:rsidR="008620D2" w:rsidRPr="00372865">
        <w:rPr>
          <w:bCs/>
          <w:szCs w:val="24"/>
          <w:lang w:val="tr-TR"/>
        </w:rPr>
        <w:t xml:space="preserve">zellikle AB’nin </w:t>
      </w:r>
      <w:r w:rsidR="00441AFF">
        <w:rPr>
          <w:bCs/>
          <w:szCs w:val="24"/>
          <w:lang w:val="tr-TR"/>
        </w:rPr>
        <w:t xml:space="preserve">Yeryüzü Gözlem Programı </w:t>
      </w:r>
      <w:r w:rsidR="008620D2" w:rsidRPr="00372865">
        <w:rPr>
          <w:bCs/>
          <w:szCs w:val="24"/>
          <w:lang w:val="tr-TR"/>
        </w:rPr>
        <w:t xml:space="preserve">(Copernicus) </w:t>
      </w:r>
      <w:r w:rsidR="00372865" w:rsidRPr="00372865">
        <w:rPr>
          <w:bCs/>
          <w:szCs w:val="24"/>
          <w:lang w:val="tr-TR"/>
        </w:rPr>
        <w:t xml:space="preserve">çerçevesinde </w:t>
      </w:r>
      <w:r w:rsidR="00372865">
        <w:rPr>
          <w:bCs/>
          <w:szCs w:val="24"/>
          <w:lang w:val="tr-TR"/>
        </w:rPr>
        <w:t xml:space="preserve">yapılan gözlemler desteklenecektir. </w:t>
      </w:r>
    </w:p>
    <w:p w:rsidR="00BD277A" w:rsidRPr="00FF2DA7" w:rsidRDefault="00BD277A" w:rsidP="0023634F">
      <w:pPr>
        <w:pStyle w:val="Gvdemetni0"/>
        <w:shd w:val="clear" w:color="auto" w:fill="auto"/>
        <w:spacing w:after="260" w:line="276" w:lineRule="auto"/>
        <w:rPr>
          <w:b/>
          <w:bCs/>
          <w:szCs w:val="24"/>
          <w:lang w:val="tr-TR"/>
        </w:rPr>
      </w:pPr>
      <w:r w:rsidRPr="00FF2DA7">
        <w:rPr>
          <w:b/>
          <w:bCs/>
          <w:szCs w:val="24"/>
          <w:lang w:val="tr-TR"/>
        </w:rPr>
        <w:t>Zaman Çizelgesi:</w:t>
      </w: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0"/>
        <w:gridCol w:w="3893"/>
      </w:tblGrid>
      <w:tr w:rsidR="00BD277A" w:rsidRPr="00FF2DA7" w:rsidTr="00DA7C41">
        <w:trPr>
          <w:trHeight w:hRule="exact" w:val="4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77A" w:rsidRPr="00FF2DA7" w:rsidRDefault="00BD277A" w:rsidP="0023634F">
            <w:pPr>
              <w:pStyle w:val="Gvdemetni0"/>
              <w:spacing w:after="260" w:line="276" w:lineRule="auto"/>
              <w:rPr>
                <w:szCs w:val="24"/>
                <w:lang w:val="tr-TR"/>
              </w:rPr>
            </w:pPr>
            <w:r w:rsidRPr="00FF2DA7">
              <w:rPr>
                <w:b/>
                <w:bCs/>
                <w:szCs w:val="24"/>
                <w:lang w:val="tr-TR"/>
              </w:rPr>
              <w:t>Aşamalar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7A" w:rsidRPr="00FF2DA7" w:rsidRDefault="00BD277A" w:rsidP="0023634F">
            <w:pPr>
              <w:pStyle w:val="Gvdemetni0"/>
              <w:spacing w:after="260" w:line="276" w:lineRule="auto"/>
              <w:jc w:val="center"/>
              <w:rPr>
                <w:szCs w:val="24"/>
                <w:lang w:val="tr-TR"/>
              </w:rPr>
            </w:pPr>
            <w:r w:rsidRPr="00FF2DA7">
              <w:rPr>
                <w:b/>
                <w:bCs/>
                <w:szCs w:val="24"/>
                <w:lang w:val="tr-TR"/>
              </w:rPr>
              <w:t>Tarih (Tahmini)</w:t>
            </w:r>
          </w:p>
        </w:tc>
      </w:tr>
      <w:tr w:rsidR="00BD277A" w:rsidRPr="00FF2DA7" w:rsidTr="00DA7C41">
        <w:trPr>
          <w:trHeight w:hRule="exact" w:val="42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77A" w:rsidRPr="00FF2DA7" w:rsidRDefault="00BD277A" w:rsidP="0023634F">
            <w:pPr>
              <w:pStyle w:val="Gvdemetni0"/>
              <w:spacing w:after="260" w:line="276" w:lineRule="auto"/>
              <w:rPr>
                <w:szCs w:val="24"/>
                <w:lang w:val="tr-TR"/>
              </w:rPr>
            </w:pPr>
            <w:r w:rsidRPr="00FF2DA7">
              <w:rPr>
                <w:szCs w:val="24"/>
                <w:lang w:val="tr-TR"/>
              </w:rPr>
              <w:t>Son Başvuru Tarihi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7A" w:rsidRPr="00FF2DA7" w:rsidRDefault="00550FDC" w:rsidP="0023634F">
            <w:pPr>
              <w:pStyle w:val="Gvdemetni0"/>
              <w:spacing w:after="260" w:line="276" w:lineRule="auto"/>
              <w:jc w:val="center"/>
              <w:rPr>
                <w:szCs w:val="24"/>
                <w:lang w:val="tr-TR"/>
              </w:rPr>
            </w:pPr>
            <w:r>
              <w:t>30/10</w:t>
            </w:r>
            <w:r w:rsidR="00DA7C41">
              <w:t xml:space="preserve">/2019 17:00 </w:t>
            </w:r>
            <w:r w:rsidR="00BD277A" w:rsidRPr="00FF2DA7">
              <w:rPr>
                <w:szCs w:val="24"/>
                <w:lang w:val="tr-TR"/>
              </w:rPr>
              <w:t>(Brüksel saati)</w:t>
            </w:r>
          </w:p>
        </w:tc>
      </w:tr>
      <w:tr w:rsidR="00BD277A" w:rsidRPr="00FF2DA7" w:rsidTr="00DA7C41">
        <w:trPr>
          <w:trHeight w:hRule="exact" w:val="42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77A" w:rsidRPr="00FF2DA7" w:rsidRDefault="00BD277A" w:rsidP="0023634F">
            <w:pPr>
              <w:pStyle w:val="Gvdemetni0"/>
              <w:spacing w:after="260" w:line="276" w:lineRule="auto"/>
              <w:rPr>
                <w:szCs w:val="24"/>
                <w:lang w:val="tr-TR"/>
              </w:rPr>
            </w:pPr>
            <w:r w:rsidRPr="00FF2DA7">
              <w:rPr>
                <w:szCs w:val="24"/>
                <w:lang w:val="tr-TR"/>
              </w:rPr>
              <w:t>Değerlendirme dönemi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7A" w:rsidRPr="00FF2DA7" w:rsidRDefault="00550FDC" w:rsidP="0023634F">
            <w:pPr>
              <w:pStyle w:val="Gvdemetni0"/>
              <w:spacing w:after="260" w:line="276" w:lineRule="auto"/>
              <w:jc w:val="center"/>
              <w:rPr>
                <w:szCs w:val="24"/>
                <w:lang w:val="tr-TR"/>
              </w:rPr>
            </w:pPr>
            <w:r>
              <w:t>Kasım- Aralık 2019</w:t>
            </w:r>
          </w:p>
        </w:tc>
      </w:tr>
      <w:tr w:rsidR="00BD277A" w:rsidRPr="00FF2DA7" w:rsidTr="00DA7C41">
        <w:trPr>
          <w:trHeight w:hRule="exact" w:val="42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77A" w:rsidRPr="00FF2DA7" w:rsidRDefault="00BD277A" w:rsidP="0023634F">
            <w:pPr>
              <w:pStyle w:val="Gvdemetni0"/>
              <w:spacing w:after="260" w:line="276" w:lineRule="auto"/>
              <w:rPr>
                <w:szCs w:val="24"/>
                <w:lang w:val="tr-TR"/>
              </w:rPr>
            </w:pPr>
            <w:r w:rsidRPr="00FF2DA7">
              <w:rPr>
                <w:szCs w:val="24"/>
                <w:lang w:val="tr-TR"/>
              </w:rPr>
              <w:t>Başvuru sahiplerinin bilgilendirilmesi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7A" w:rsidRPr="00FF2DA7" w:rsidRDefault="00550FDC" w:rsidP="0023634F">
            <w:pPr>
              <w:pStyle w:val="Gvdemetni0"/>
              <w:spacing w:after="260" w:line="276" w:lineRule="auto"/>
              <w:jc w:val="center"/>
              <w:rPr>
                <w:szCs w:val="24"/>
                <w:lang w:val="tr-TR"/>
              </w:rPr>
            </w:pPr>
            <w:r>
              <w:rPr>
                <w:szCs w:val="24"/>
              </w:rPr>
              <w:t>Ocak 2020</w:t>
            </w:r>
          </w:p>
        </w:tc>
      </w:tr>
      <w:tr w:rsidR="00BD277A" w:rsidRPr="00FF2DA7" w:rsidTr="00DA7C41">
        <w:trPr>
          <w:trHeight w:hRule="exact" w:val="42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77A" w:rsidRPr="00FF2DA7" w:rsidRDefault="00BD277A" w:rsidP="0023634F">
            <w:pPr>
              <w:pStyle w:val="Gvdemetni0"/>
              <w:spacing w:after="260" w:line="276" w:lineRule="auto"/>
              <w:rPr>
                <w:szCs w:val="24"/>
                <w:lang w:val="tr-TR"/>
              </w:rPr>
            </w:pPr>
            <w:r w:rsidRPr="00FF2DA7">
              <w:rPr>
                <w:szCs w:val="24"/>
                <w:lang w:val="tr-TR"/>
              </w:rPr>
              <w:t>Hibe anlaşmaların imzalanması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7A" w:rsidRPr="00FF2DA7" w:rsidRDefault="00550FDC" w:rsidP="0023634F">
            <w:pPr>
              <w:pStyle w:val="Gvdemetni0"/>
              <w:spacing w:after="260" w:line="276" w:lineRule="auto"/>
              <w:jc w:val="center"/>
              <w:rPr>
                <w:szCs w:val="24"/>
                <w:lang w:val="tr-TR"/>
              </w:rPr>
            </w:pPr>
            <w:r>
              <w:rPr>
                <w:szCs w:val="24"/>
              </w:rPr>
              <w:t>Nisan 2020</w:t>
            </w:r>
          </w:p>
        </w:tc>
      </w:tr>
      <w:tr w:rsidR="00BD277A" w:rsidRPr="00FF2DA7" w:rsidTr="00DA7C41">
        <w:trPr>
          <w:trHeight w:hRule="exact" w:val="43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77A" w:rsidRPr="00FF2DA7" w:rsidRDefault="00BD277A" w:rsidP="0023634F">
            <w:pPr>
              <w:pStyle w:val="Gvdemetni0"/>
              <w:spacing w:after="260" w:line="276" w:lineRule="auto"/>
              <w:rPr>
                <w:szCs w:val="24"/>
                <w:lang w:val="tr-TR"/>
              </w:rPr>
            </w:pPr>
            <w:r w:rsidRPr="00FF2DA7">
              <w:rPr>
                <w:szCs w:val="24"/>
                <w:lang w:val="tr-TR"/>
              </w:rPr>
              <w:t>Faaliyetlerin başlangıç tarihi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7A" w:rsidRPr="00FF2DA7" w:rsidRDefault="00550FDC" w:rsidP="0023634F">
            <w:pPr>
              <w:pStyle w:val="Gvdemetni0"/>
              <w:spacing w:after="260" w:line="276" w:lineRule="auto"/>
              <w:jc w:val="center"/>
              <w:rPr>
                <w:szCs w:val="24"/>
                <w:lang w:val="tr-TR"/>
              </w:rPr>
            </w:pPr>
            <w:r>
              <w:t>Nisan 2020</w:t>
            </w:r>
          </w:p>
        </w:tc>
      </w:tr>
    </w:tbl>
    <w:p w:rsidR="00BD277A" w:rsidRPr="00FF2DA7" w:rsidRDefault="00BD277A" w:rsidP="0023634F">
      <w:pPr>
        <w:pStyle w:val="Gvdemetni0"/>
        <w:shd w:val="clear" w:color="auto" w:fill="auto"/>
        <w:spacing w:after="260" w:line="276" w:lineRule="auto"/>
        <w:rPr>
          <w:szCs w:val="24"/>
          <w:lang w:val="tr-TR"/>
        </w:rPr>
      </w:pPr>
    </w:p>
    <w:p w:rsidR="00BD277A" w:rsidRDefault="00BD277A" w:rsidP="006C7D20">
      <w:pPr>
        <w:pStyle w:val="Gvdemetni0"/>
        <w:shd w:val="clear" w:color="auto" w:fill="auto"/>
        <w:spacing w:after="260" w:line="276" w:lineRule="auto"/>
        <w:jc w:val="both"/>
        <w:rPr>
          <w:b/>
          <w:szCs w:val="24"/>
          <w:lang w:val="tr-TR"/>
        </w:rPr>
      </w:pPr>
      <w:r w:rsidRPr="00FF2DA7">
        <w:rPr>
          <w:b/>
          <w:szCs w:val="24"/>
          <w:lang w:val="tr-TR"/>
        </w:rPr>
        <w:t>AB Finansmanı:</w:t>
      </w:r>
    </w:p>
    <w:p w:rsidR="003D11A4" w:rsidRPr="003D11A4" w:rsidRDefault="003D11A4" w:rsidP="006C7D20">
      <w:pPr>
        <w:pStyle w:val="Gvdemetni0"/>
        <w:numPr>
          <w:ilvl w:val="0"/>
          <w:numId w:val="1"/>
        </w:numPr>
        <w:spacing w:after="260" w:line="276" w:lineRule="auto"/>
        <w:jc w:val="both"/>
        <w:rPr>
          <w:szCs w:val="24"/>
          <w:lang w:val="tr-TR"/>
        </w:rPr>
      </w:pPr>
      <w:r w:rsidRPr="003D11A4">
        <w:rPr>
          <w:szCs w:val="24"/>
          <w:lang w:val="tr-TR"/>
        </w:rPr>
        <w:t>Çağrı kapsamında eş finansman i</w:t>
      </w:r>
      <w:r>
        <w:rPr>
          <w:szCs w:val="24"/>
          <w:lang w:val="tr-TR"/>
        </w:rPr>
        <w:t>çin tahsis edilmiş toplam bütçe</w:t>
      </w:r>
      <w:r w:rsidR="00AA243A" w:rsidRPr="006C715C">
        <w:rPr>
          <w:lang w:val="tr-TR"/>
        </w:rPr>
        <w:t xml:space="preserve"> </w:t>
      </w:r>
      <w:r w:rsidR="00BE3FF8" w:rsidRPr="006C715C">
        <w:rPr>
          <w:lang w:val="tr-TR"/>
        </w:rPr>
        <w:t>8.300.000</w:t>
      </w:r>
      <w:r w:rsidR="00AA243A" w:rsidRPr="006C715C">
        <w:rPr>
          <w:lang w:val="tr-TR"/>
        </w:rPr>
        <w:t xml:space="preserve"> </w:t>
      </w:r>
      <w:r w:rsidR="00BE3FF8">
        <w:rPr>
          <w:szCs w:val="24"/>
          <w:lang w:val="tr-TR"/>
        </w:rPr>
        <w:t xml:space="preserve">Avro ’dur ve şu şekilde bölünmüştür: </w:t>
      </w:r>
    </w:p>
    <w:p w:rsidR="00A26C02" w:rsidRDefault="00A26C02" w:rsidP="006C7D20">
      <w:pPr>
        <w:pStyle w:val="Gvdemetni0"/>
        <w:numPr>
          <w:ilvl w:val="1"/>
          <w:numId w:val="1"/>
        </w:numPr>
        <w:spacing w:after="260" w:line="276" w:lineRule="auto"/>
        <w:jc w:val="both"/>
        <w:rPr>
          <w:szCs w:val="24"/>
          <w:lang w:val="tr-TR"/>
        </w:rPr>
      </w:pPr>
      <w:r>
        <w:rPr>
          <w:szCs w:val="24"/>
          <w:lang w:val="tr-TR"/>
        </w:rPr>
        <w:t xml:space="preserve">Aşama 1 ve Aşama 2.a için </w:t>
      </w:r>
      <w:r w:rsidRPr="00A26C02">
        <w:rPr>
          <w:szCs w:val="24"/>
          <w:lang w:val="tr-TR"/>
        </w:rPr>
        <w:t>7.400.000</w:t>
      </w:r>
      <w:r>
        <w:rPr>
          <w:szCs w:val="24"/>
          <w:lang w:val="tr-TR"/>
        </w:rPr>
        <w:t xml:space="preserve"> Avro;</w:t>
      </w:r>
    </w:p>
    <w:p w:rsidR="00BE3FF8" w:rsidRDefault="00A26C02" w:rsidP="006C7D20">
      <w:pPr>
        <w:pStyle w:val="Gvdemetni0"/>
        <w:numPr>
          <w:ilvl w:val="1"/>
          <w:numId w:val="1"/>
        </w:numPr>
        <w:spacing w:after="260" w:line="276" w:lineRule="auto"/>
        <w:jc w:val="both"/>
        <w:rPr>
          <w:szCs w:val="24"/>
          <w:lang w:val="tr-TR"/>
        </w:rPr>
      </w:pPr>
      <w:r>
        <w:rPr>
          <w:szCs w:val="24"/>
          <w:lang w:val="tr-TR"/>
        </w:rPr>
        <w:t xml:space="preserve">Aşama 2.b için </w:t>
      </w:r>
      <w:r w:rsidRPr="00A26C02">
        <w:rPr>
          <w:szCs w:val="24"/>
          <w:lang w:val="tr-TR"/>
        </w:rPr>
        <w:t>900.000</w:t>
      </w:r>
      <w:r>
        <w:rPr>
          <w:szCs w:val="24"/>
          <w:lang w:val="tr-TR"/>
        </w:rPr>
        <w:t xml:space="preserve"> Avro.</w:t>
      </w:r>
    </w:p>
    <w:p w:rsidR="00BE3FF8" w:rsidRPr="00BE3FF8" w:rsidRDefault="00BE3FF8" w:rsidP="006C7D20">
      <w:pPr>
        <w:pStyle w:val="Gvdemetni0"/>
        <w:numPr>
          <w:ilvl w:val="0"/>
          <w:numId w:val="1"/>
        </w:numPr>
        <w:spacing w:after="260" w:line="276" w:lineRule="auto"/>
        <w:jc w:val="both"/>
        <w:rPr>
          <w:szCs w:val="24"/>
          <w:lang w:val="tr-TR"/>
        </w:rPr>
      </w:pPr>
      <w:r w:rsidRPr="00BE3FF8">
        <w:rPr>
          <w:szCs w:val="24"/>
          <w:lang w:val="tr-TR"/>
        </w:rPr>
        <w:t>Aşama 1 için proje başına azami hibe 200.000 Avro’dur.</w:t>
      </w:r>
    </w:p>
    <w:p w:rsidR="00BE3FF8" w:rsidRDefault="00BE3FF8" w:rsidP="006C7D20">
      <w:pPr>
        <w:pStyle w:val="Gvdemetni0"/>
        <w:numPr>
          <w:ilvl w:val="0"/>
          <w:numId w:val="1"/>
        </w:numPr>
        <w:spacing w:after="260" w:line="276" w:lineRule="auto"/>
        <w:jc w:val="both"/>
        <w:rPr>
          <w:szCs w:val="24"/>
          <w:lang w:val="tr-TR"/>
        </w:rPr>
      </w:pPr>
      <w:r w:rsidRPr="00BE3FF8">
        <w:rPr>
          <w:szCs w:val="24"/>
          <w:lang w:val="tr-TR"/>
        </w:rPr>
        <w:t xml:space="preserve">Aşama 2.a ve Aşama 2.b için proje başına azami hibe 450.000 Avro’dur. </w:t>
      </w:r>
    </w:p>
    <w:p w:rsidR="00A26C02" w:rsidRDefault="00191106" w:rsidP="006C7D20">
      <w:pPr>
        <w:pStyle w:val="Gvdemetni0"/>
        <w:numPr>
          <w:ilvl w:val="0"/>
          <w:numId w:val="1"/>
        </w:numPr>
        <w:spacing w:after="260" w:line="276" w:lineRule="auto"/>
        <w:jc w:val="both"/>
        <w:rPr>
          <w:szCs w:val="24"/>
          <w:lang w:val="tr-TR"/>
        </w:rPr>
      </w:pPr>
      <w:r>
        <w:rPr>
          <w:szCs w:val="24"/>
          <w:lang w:val="tr-TR"/>
        </w:rPr>
        <w:lastRenderedPageBreak/>
        <w:t>EASME’nin 24</w:t>
      </w:r>
      <w:r w:rsidR="00AA243A" w:rsidRPr="00BE3FF8">
        <w:rPr>
          <w:szCs w:val="24"/>
          <w:lang w:val="tr-TR"/>
        </w:rPr>
        <w:t xml:space="preserve"> teklifi fonlaması beklenmektedir</w:t>
      </w:r>
      <w:r>
        <w:rPr>
          <w:szCs w:val="24"/>
          <w:lang w:val="tr-TR"/>
        </w:rPr>
        <w:t>:</w:t>
      </w:r>
    </w:p>
    <w:p w:rsidR="00191106" w:rsidRDefault="00191106" w:rsidP="006C7D20">
      <w:pPr>
        <w:pStyle w:val="Gvdemetni0"/>
        <w:numPr>
          <w:ilvl w:val="1"/>
          <w:numId w:val="1"/>
        </w:numPr>
        <w:spacing w:after="260" w:line="276" w:lineRule="auto"/>
        <w:jc w:val="both"/>
        <w:rPr>
          <w:szCs w:val="24"/>
          <w:lang w:val="tr-TR"/>
        </w:rPr>
      </w:pPr>
      <w:r>
        <w:rPr>
          <w:szCs w:val="24"/>
          <w:lang w:val="tr-TR"/>
        </w:rPr>
        <w:t>Aşama 1 için 10 teklif</w:t>
      </w:r>
    </w:p>
    <w:p w:rsidR="00191106" w:rsidRDefault="00191106" w:rsidP="006C7D20">
      <w:pPr>
        <w:pStyle w:val="Gvdemetni0"/>
        <w:numPr>
          <w:ilvl w:val="1"/>
          <w:numId w:val="1"/>
        </w:numPr>
        <w:spacing w:after="260" w:line="276" w:lineRule="auto"/>
        <w:jc w:val="both"/>
        <w:rPr>
          <w:szCs w:val="24"/>
          <w:lang w:val="tr-TR"/>
        </w:rPr>
      </w:pPr>
      <w:r>
        <w:rPr>
          <w:szCs w:val="24"/>
          <w:lang w:val="tr-TR"/>
        </w:rPr>
        <w:t>Aşama 2.a için 12 teklif</w:t>
      </w:r>
    </w:p>
    <w:p w:rsidR="00191106" w:rsidRDefault="00191106" w:rsidP="006C7D20">
      <w:pPr>
        <w:pStyle w:val="Gvdemetni0"/>
        <w:numPr>
          <w:ilvl w:val="1"/>
          <w:numId w:val="1"/>
        </w:numPr>
        <w:spacing w:after="260" w:line="276" w:lineRule="auto"/>
        <w:jc w:val="both"/>
        <w:rPr>
          <w:szCs w:val="24"/>
          <w:lang w:val="tr-TR"/>
        </w:rPr>
      </w:pPr>
      <w:r>
        <w:rPr>
          <w:szCs w:val="24"/>
          <w:lang w:val="tr-TR"/>
        </w:rPr>
        <w:t>Aşama 2.b için 2 teklif</w:t>
      </w:r>
    </w:p>
    <w:p w:rsidR="00191106" w:rsidRPr="00BE3FF8" w:rsidRDefault="00191106" w:rsidP="006C7D20">
      <w:pPr>
        <w:pStyle w:val="Gvdemetni0"/>
        <w:numPr>
          <w:ilvl w:val="0"/>
          <w:numId w:val="1"/>
        </w:numPr>
        <w:spacing w:after="260" w:line="276" w:lineRule="auto"/>
        <w:jc w:val="both"/>
        <w:rPr>
          <w:szCs w:val="24"/>
          <w:lang w:val="tr-TR"/>
        </w:rPr>
      </w:pPr>
      <w:r>
        <w:rPr>
          <w:szCs w:val="24"/>
          <w:lang w:val="tr-TR"/>
        </w:rPr>
        <w:t>Aşama 2.b çerçevesinde başarılı te</w:t>
      </w:r>
      <w:r w:rsidR="00D0025A">
        <w:rPr>
          <w:szCs w:val="24"/>
          <w:lang w:val="tr-TR"/>
        </w:rPr>
        <w:t>klif olmaması halinde bu aşamaya ayrılan</w:t>
      </w:r>
      <w:r>
        <w:rPr>
          <w:szCs w:val="24"/>
          <w:lang w:val="tr-TR"/>
        </w:rPr>
        <w:t xml:space="preserve"> bütçe Aşama 1 ve Aşama 2.a için </w:t>
      </w:r>
      <w:r w:rsidR="00D0025A">
        <w:rPr>
          <w:szCs w:val="24"/>
          <w:lang w:val="tr-TR"/>
        </w:rPr>
        <w:t xml:space="preserve">yedek listesine alınan teklifleri fonlamak için kullanılabilecektir. </w:t>
      </w:r>
    </w:p>
    <w:p w:rsidR="003D11A4" w:rsidRPr="00BB0351" w:rsidRDefault="003D11A4" w:rsidP="006C7D20">
      <w:pPr>
        <w:pStyle w:val="Gvdemetni0"/>
        <w:numPr>
          <w:ilvl w:val="0"/>
          <w:numId w:val="1"/>
        </w:numPr>
        <w:shd w:val="clear" w:color="auto" w:fill="auto"/>
        <w:spacing w:after="260" w:line="276" w:lineRule="auto"/>
        <w:jc w:val="both"/>
        <w:rPr>
          <w:lang w:val="tr-TR"/>
        </w:rPr>
      </w:pPr>
      <w:r w:rsidRPr="00BB0351">
        <w:rPr>
          <w:lang w:val="tr-TR"/>
        </w:rPr>
        <w:t>Hibe miktarı</w:t>
      </w:r>
      <w:r>
        <w:rPr>
          <w:lang w:val="tr-TR"/>
        </w:rPr>
        <w:t xml:space="preserve"> uygun harcamaların maksimum %90</w:t>
      </w:r>
      <w:r w:rsidRPr="00BB0351">
        <w:rPr>
          <w:lang w:val="tr-TR"/>
        </w:rPr>
        <w:t>'</w:t>
      </w:r>
      <w:r>
        <w:rPr>
          <w:lang w:val="tr-TR"/>
        </w:rPr>
        <w:t>ı</w:t>
      </w:r>
      <w:r w:rsidRPr="00BB0351">
        <w:rPr>
          <w:lang w:val="tr-TR"/>
        </w:rPr>
        <w:t xml:space="preserve"> kadar olacaktır.</w:t>
      </w:r>
    </w:p>
    <w:p w:rsidR="003D11A4" w:rsidRPr="003D11A4" w:rsidRDefault="003D11A4" w:rsidP="006C7D20">
      <w:pPr>
        <w:pStyle w:val="Gvdemetni0"/>
        <w:numPr>
          <w:ilvl w:val="0"/>
          <w:numId w:val="1"/>
        </w:numPr>
        <w:shd w:val="clear" w:color="auto" w:fill="auto"/>
        <w:spacing w:after="260" w:line="276" w:lineRule="auto"/>
        <w:jc w:val="both"/>
        <w:rPr>
          <w:szCs w:val="24"/>
          <w:lang w:val="tr-TR"/>
        </w:rPr>
      </w:pPr>
      <w:r w:rsidRPr="003D11A4">
        <w:rPr>
          <w:szCs w:val="24"/>
          <w:lang w:val="tr-TR"/>
        </w:rPr>
        <w:t>EASME, mevcut tüm fonların dağıtılmaması hakkını saklı tutar.</w:t>
      </w:r>
    </w:p>
    <w:p w:rsidR="00BD277A" w:rsidRDefault="00BD277A" w:rsidP="006C7D20">
      <w:pPr>
        <w:pStyle w:val="Gvdemetni0"/>
        <w:shd w:val="clear" w:color="auto" w:fill="auto"/>
        <w:spacing w:after="260" w:line="276" w:lineRule="auto"/>
        <w:jc w:val="both"/>
        <w:rPr>
          <w:b/>
          <w:szCs w:val="24"/>
          <w:lang w:val="tr-TR"/>
        </w:rPr>
      </w:pPr>
      <w:r w:rsidRPr="00FF2DA7">
        <w:rPr>
          <w:b/>
          <w:szCs w:val="24"/>
          <w:lang w:val="tr-TR"/>
        </w:rPr>
        <w:t xml:space="preserve">Başvuru Kriterleri: </w:t>
      </w:r>
    </w:p>
    <w:p w:rsidR="003D11A4" w:rsidRPr="003515E9" w:rsidRDefault="003D11A4" w:rsidP="006C7D20">
      <w:pPr>
        <w:pStyle w:val="Gvdemetni0"/>
        <w:spacing w:after="260" w:line="276" w:lineRule="auto"/>
        <w:jc w:val="both"/>
        <w:rPr>
          <w:szCs w:val="24"/>
          <w:lang w:val="tr-TR" w:bidi="tr-TR"/>
        </w:rPr>
      </w:pPr>
      <w:r w:rsidRPr="003515E9">
        <w:rPr>
          <w:szCs w:val="24"/>
          <w:lang w:val="tr-TR" w:bidi="tr-TR"/>
        </w:rPr>
        <w:t>Tekliflerin aşağıdaki özelliklere sahip konsorsiyumlar tarafından sunulması gereklidir:</w:t>
      </w:r>
    </w:p>
    <w:p w:rsidR="00293F9C" w:rsidRPr="003515E9" w:rsidRDefault="003515E9" w:rsidP="006C7D20">
      <w:pPr>
        <w:pStyle w:val="Gvdemetni0"/>
        <w:numPr>
          <w:ilvl w:val="0"/>
          <w:numId w:val="2"/>
        </w:numPr>
        <w:spacing w:after="260" w:line="276" w:lineRule="auto"/>
        <w:jc w:val="both"/>
        <w:rPr>
          <w:szCs w:val="24"/>
          <w:lang w:val="tr-TR" w:bidi="tr-TR"/>
        </w:rPr>
      </w:pPr>
      <w:r w:rsidRPr="003515E9">
        <w:rPr>
          <w:szCs w:val="24"/>
          <w:lang w:val="tr-TR" w:bidi="tr-TR"/>
        </w:rPr>
        <w:t xml:space="preserve">Konsorsiyumlar </w:t>
      </w:r>
      <w:r>
        <w:rPr>
          <w:szCs w:val="24"/>
          <w:lang w:val="tr-TR" w:bidi="tr-TR"/>
        </w:rPr>
        <w:t>e</w:t>
      </w:r>
      <w:r w:rsidR="00293F9C" w:rsidRPr="003515E9">
        <w:rPr>
          <w:szCs w:val="24"/>
          <w:lang w:val="tr-TR" w:bidi="tr-TR"/>
        </w:rPr>
        <w:t>n az 3 f</w:t>
      </w:r>
      <w:r w:rsidRPr="003515E9">
        <w:rPr>
          <w:szCs w:val="24"/>
          <w:lang w:val="tr-TR" w:bidi="tr-TR"/>
        </w:rPr>
        <w:t>arklı tüzel kişilikten oluşmalıdır;</w:t>
      </w:r>
    </w:p>
    <w:p w:rsidR="00293F9C" w:rsidRPr="003515E9" w:rsidRDefault="00293F9C" w:rsidP="006C7D20">
      <w:pPr>
        <w:pStyle w:val="Gvdemetni0"/>
        <w:numPr>
          <w:ilvl w:val="0"/>
          <w:numId w:val="2"/>
        </w:numPr>
        <w:spacing w:after="260" w:line="276" w:lineRule="auto"/>
        <w:jc w:val="both"/>
        <w:rPr>
          <w:lang w:val="tr-TR"/>
        </w:rPr>
      </w:pPr>
      <w:r w:rsidRPr="003515E9">
        <w:rPr>
          <w:lang w:val="tr-TR"/>
        </w:rPr>
        <w:t>Konsorsiyumlar COSME Programı’na katılan en az 3 farklı ülkeden olmalı ve bu 3 ülkeden</w:t>
      </w:r>
      <w:r w:rsidR="003515E9" w:rsidRPr="003515E9">
        <w:rPr>
          <w:lang w:val="tr-TR"/>
        </w:rPr>
        <w:t xml:space="preserve"> en az 2 tanesi AB üyesi olmalıdır;</w:t>
      </w:r>
    </w:p>
    <w:p w:rsidR="00293F9C" w:rsidRPr="003515E9" w:rsidRDefault="00293F9C" w:rsidP="006C7D20">
      <w:pPr>
        <w:pStyle w:val="Gvdemetni0"/>
        <w:numPr>
          <w:ilvl w:val="0"/>
          <w:numId w:val="2"/>
        </w:numPr>
        <w:spacing w:after="260" w:line="276" w:lineRule="auto"/>
        <w:jc w:val="both"/>
        <w:rPr>
          <w:lang w:val="tr-TR"/>
        </w:rPr>
      </w:pPr>
      <w:r w:rsidRPr="003515E9">
        <w:rPr>
          <w:lang w:val="tr-TR"/>
        </w:rPr>
        <w:t>Her konsorsiyum; Aşama 1, Aşama 2.a ve Aşama 2.b’den sadece bir ta</w:t>
      </w:r>
      <w:r w:rsidR="003515E9" w:rsidRPr="003515E9">
        <w:rPr>
          <w:lang w:val="tr-TR"/>
        </w:rPr>
        <w:t>nesi için başvuruda bulunabilir;</w:t>
      </w:r>
    </w:p>
    <w:p w:rsidR="00293F9C" w:rsidRDefault="000703A3" w:rsidP="006C7D20">
      <w:pPr>
        <w:pStyle w:val="Gvdemetni0"/>
        <w:numPr>
          <w:ilvl w:val="0"/>
          <w:numId w:val="2"/>
        </w:numPr>
        <w:spacing w:after="260" w:line="276" w:lineRule="auto"/>
        <w:jc w:val="both"/>
        <w:rPr>
          <w:lang w:val="tr-TR"/>
        </w:rPr>
      </w:pPr>
      <w:r w:rsidRPr="003515E9">
        <w:rPr>
          <w:lang w:val="tr-TR"/>
        </w:rPr>
        <w:t xml:space="preserve">Herhangi bir </w:t>
      </w:r>
      <w:r w:rsidR="00293F9C" w:rsidRPr="003515E9">
        <w:rPr>
          <w:lang w:val="tr-TR"/>
        </w:rPr>
        <w:t>Aşama'ya b</w:t>
      </w:r>
      <w:r w:rsidR="00203914" w:rsidRPr="003515E9">
        <w:rPr>
          <w:lang w:val="tr-TR"/>
        </w:rPr>
        <w:t>aşvuru yapan konsorsiyum</w:t>
      </w:r>
      <w:r w:rsidR="00293F9C" w:rsidRPr="003515E9">
        <w:rPr>
          <w:lang w:val="tr-TR"/>
        </w:rPr>
        <w:t xml:space="preserve"> </w:t>
      </w:r>
      <w:r w:rsidR="00203914" w:rsidRPr="003515E9">
        <w:rPr>
          <w:lang w:val="tr-TR"/>
        </w:rPr>
        <w:t>kendi</w:t>
      </w:r>
      <w:r w:rsidR="00293F9C" w:rsidRPr="003515E9">
        <w:rPr>
          <w:lang w:val="tr-TR"/>
        </w:rPr>
        <w:t xml:space="preserve"> üyelerinin aynı Aşama’ya başka bir konsorsiyum altında başvuru yapmadığını doğrulamak zorundadır</w:t>
      </w:r>
      <w:r w:rsidR="00293F9C">
        <w:rPr>
          <w:lang w:val="tr-TR"/>
        </w:rPr>
        <w:t xml:space="preserve">. </w:t>
      </w:r>
      <w:r w:rsidR="003515E9">
        <w:rPr>
          <w:lang w:val="tr-TR"/>
        </w:rPr>
        <w:t xml:space="preserve">Aksinin tespit edilmesi halinde, aynı Aşama’ya farklı konsorsiyumlar altında başvuran kuruluş konsorsiyumdan çıkartılacak ve konsorsiyumun başka bir kuruluş bulması gerekecektir. </w:t>
      </w:r>
    </w:p>
    <w:p w:rsidR="00181F55" w:rsidRPr="00D719C9" w:rsidRDefault="00D719C9" w:rsidP="006C7D20">
      <w:pPr>
        <w:pStyle w:val="Gvdemetni0"/>
        <w:numPr>
          <w:ilvl w:val="0"/>
          <w:numId w:val="2"/>
        </w:numPr>
        <w:shd w:val="clear" w:color="auto" w:fill="auto"/>
        <w:spacing w:after="260" w:line="276" w:lineRule="auto"/>
        <w:jc w:val="both"/>
        <w:rPr>
          <w:b/>
          <w:szCs w:val="24"/>
          <w:lang w:val="tr-TR"/>
        </w:rPr>
      </w:pPr>
      <w:r>
        <w:rPr>
          <w:lang w:val="tr-TR"/>
        </w:rPr>
        <w:t xml:space="preserve">Proje süresi 18ve 24 </w:t>
      </w:r>
      <w:r w:rsidR="00181F55">
        <w:rPr>
          <w:lang w:val="tr-TR"/>
        </w:rPr>
        <w:t>ay</w:t>
      </w:r>
      <w:r>
        <w:rPr>
          <w:lang w:val="tr-TR"/>
        </w:rPr>
        <w:t xml:space="preserve"> arası olmalıdır ve şu hususlara dikkat edilmelidir:</w:t>
      </w:r>
    </w:p>
    <w:p w:rsidR="00D719C9" w:rsidRPr="00D719C9" w:rsidRDefault="00D719C9" w:rsidP="006C7D20">
      <w:pPr>
        <w:pStyle w:val="Gvdemetni0"/>
        <w:numPr>
          <w:ilvl w:val="1"/>
          <w:numId w:val="2"/>
        </w:numPr>
        <w:shd w:val="clear" w:color="auto" w:fill="auto"/>
        <w:spacing w:after="260" w:line="276" w:lineRule="auto"/>
        <w:jc w:val="both"/>
        <w:rPr>
          <w:szCs w:val="24"/>
          <w:lang w:val="tr-TR"/>
        </w:rPr>
      </w:pPr>
      <w:r w:rsidRPr="00D719C9">
        <w:rPr>
          <w:szCs w:val="24"/>
          <w:lang w:val="tr-TR"/>
        </w:rPr>
        <w:t>Aşama 1 ve Aşama 2 için proje süresi 18 aydan az olamaz</w:t>
      </w:r>
      <w:r>
        <w:rPr>
          <w:szCs w:val="24"/>
          <w:lang w:val="tr-TR"/>
        </w:rPr>
        <w:t>;</w:t>
      </w:r>
    </w:p>
    <w:p w:rsidR="00D719C9" w:rsidRPr="00D719C9" w:rsidRDefault="00D719C9" w:rsidP="006C7D20">
      <w:pPr>
        <w:pStyle w:val="Gvdemetni0"/>
        <w:numPr>
          <w:ilvl w:val="1"/>
          <w:numId w:val="2"/>
        </w:numPr>
        <w:shd w:val="clear" w:color="auto" w:fill="auto"/>
        <w:spacing w:after="260" w:line="276" w:lineRule="auto"/>
        <w:jc w:val="both"/>
        <w:rPr>
          <w:szCs w:val="24"/>
          <w:lang w:val="tr-TR"/>
        </w:rPr>
      </w:pPr>
      <w:r w:rsidRPr="00D719C9">
        <w:rPr>
          <w:szCs w:val="24"/>
          <w:lang w:val="tr-TR"/>
        </w:rPr>
        <w:t>Aşama 1 için proje süresi 24 aydan fazla olamaz</w:t>
      </w:r>
      <w:r>
        <w:rPr>
          <w:szCs w:val="24"/>
          <w:lang w:val="tr-TR"/>
        </w:rPr>
        <w:t>;</w:t>
      </w:r>
    </w:p>
    <w:p w:rsidR="00D719C9" w:rsidRPr="00D719C9" w:rsidRDefault="00D719C9" w:rsidP="006C7D20">
      <w:pPr>
        <w:pStyle w:val="Gvdemetni0"/>
        <w:numPr>
          <w:ilvl w:val="1"/>
          <w:numId w:val="2"/>
        </w:numPr>
        <w:shd w:val="clear" w:color="auto" w:fill="auto"/>
        <w:spacing w:after="260" w:line="276" w:lineRule="auto"/>
        <w:jc w:val="both"/>
        <w:rPr>
          <w:szCs w:val="24"/>
          <w:lang w:val="tr-TR"/>
        </w:rPr>
      </w:pPr>
      <w:r w:rsidRPr="00D719C9">
        <w:rPr>
          <w:szCs w:val="24"/>
          <w:lang w:val="tr-TR"/>
        </w:rPr>
        <w:t>Aşama 2 için proje süresinin 24 ayı geçecek şekilde planlanması sadece başvuru sahibinin çok iyi bir gerekçe ile açıklama yapm</w:t>
      </w:r>
      <w:r>
        <w:rPr>
          <w:szCs w:val="24"/>
          <w:lang w:val="tr-TR"/>
        </w:rPr>
        <w:t xml:space="preserve">ası durumunda söz konusu olabilecektir. </w:t>
      </w:r>
    </w:p>
    <w:p w:rsidR="00C5119A" w:rsidRDefault="00C5119A" w:rsidP="006C7D20">
      <w:pPr>
        <w:pStyle w:val="Gvdemetni0"/>
        <w:shd w:val="clear" w:color="auto" w:fill="auto"/>
        <w:spacing w:after="260" w:line="276" w:lineRule="auto"/>
        <w:jc w:val="both"/>
        <w:rPr>
          <w:b/>
          <w:szCs w:val="24"/>
          <w:lang w:val="tr-TR"/>
        </w:rPr>
      </w:pPr>
    </w:p>
    <w:p w:rsidR="00C5119A" w:rsidRDefault="00C5119A" w:rsidP="006C7D20">
      <w:pPr>
        <w:pStyle w:val="Gvdemetni0"/>
        <w:shd w:val="clear" w:color="auto" w:fill="auto"/>
        <w:spacing w:after="260" w:line="276" w:lineRule="auto"/>
        <w:jc w:val="both"/>
        <w:rPr>
          <w:b/>
          <w:szCs w:val="24"/>
          <w:lang w:val="tr-TR"/>
        </w:rPr>
      </w:pPr>
    </w:p>
    <w:p w:rsidR="00C5119A" w:rsidRDefault="00C5119A" w:rsidP="006C7D20">
      <w:pPr>
        <w:pStyle w:val="Gvdemetni0"/>
        <w:shd w:val="clear" w:color="auto" w:fill="auto"/>
        <w:spacing w:after="260" w:line="276" w:lineRule="auto"/>
        <w:jc w:val="both"/>
        <w:rPr>
          <w:b/>
          <w:szCs w:val="24"/>
          <w:lang w:val="tr-TR"/>
        </w:rPr>
      </w:pPr>
    </w:p>
    <w:p w:rsidR="00BD277A" w:rsidRDefault="00BD277A" w:rsidP="006C7D20">
      <w:pPr>
        <w:pStyle w:val="Gvdemetni0"/>
        <w:shd w:val="clear" w:color="auto" w:fill="auto"/>
        <w:spacing w:after="260" w:line="276" w:lineRule="auto"/>
        <w:jc w:val="both"/>
        <w:rPr>
          <w:b/>
          <w:szCs w:val="24"/>
          <w:lang w:val="tr-TR"/>
        </w:rPr>
      </w:pPr>
      <w:r w:rsidRPr="00FF2DA7">
        <w:rPr>
          <w:b/>
          <w:szCs w:val="24"/>
          <w:lang w:val="tr-TR"/>
        </w:rPr>
        <w:lastRenderedPageBreak/>
        <w:t>Tekliflerin Sunulması:</w:t>
      </w:r>
    </w:p>
    <w:p w:rsidR="00DE10DA" w:rsidRPr="00DE10DA" w:rsidRDefault="00D719C9" w:rsidP="006C7D20">
      <w:pPr>
        <w:pStyle w:val="Gvdemetni0"/>
        <w:spacing w:after="260" w:line="276" w:lineRule="auto"/>
        <w:jc w:val="both"/>
        <w:rPr>
          <w:szCs w:val="24"/>
          <w:lang w:val="tr-TR" w:bidi="tr-TR"/>
        </w:rPr>
      </w:pPr>
      <w:r>
        <w:rPr>
          <w:szCs w:val="24"/>
          <w:lang w:val="tr-TR" w:bidi="tr-TR"/>
        </w:rPr>
        <w:t>Teklifler elektronik olarak 30</w:t>
      </w:r>
      <w:r w:rsidR="00DE10DA">
        <w:rPr>
          <w:szCs w:val="24"/>
          <w:lang w:val="tr-TR" w:bidi="tr-TR"/>
        </w:rPr>
        <w:t xml:space="preserve"> </w:t>
      </w:r>
      <w:r>
        <w:rPr>
          <w:szCs w:val="24"/>
          <w:lang w:val="tr-TR" w:bidi="tr-TR"/>
        </w:rPr>
        <w:t>Ekim</w:t>
      </w:r>
      <w:r w:rsidR="00DE10DA" w:rsidRPr="00DE10DA">
        <w:rPr>
          <w:szCs w:val="24"/>
          <w:lang w:val="tr-TR" w:bidi="tr-TR"/>
        </w:rPr>
        <w:t xml:space="preserve"> 2019 saat: 17.00'ye (Brüksel saati) kadar sunulabilir.</w:t>
      </w:r>
    </w:p>
    <w:p w:rsidR="00DE10DA" w:rsidRPr="00DE10DA" w:rsidRDefault="00DE10DA" w:rsidP="006C7D20">
      <w:pPr>
        <w:pStyle w:val="Gvdemetni0"/>
        <w:spacing w:after="260" w:line="276" w:lineRule="auto"/>
        <w:jc w:val="both"/>
        <w:rPr>
          <w:szCs w:val="24"/>
          <w:lang w:val="tr-TR" w:bidi="tr-TR"/>
        </w:rPr>
      </w:pPr>
      <w:r w:rsidRPr="00DE10DA">
        <w:rPr>
          <w:szCs w:val="24"/>
          <w:lang w:val="tr-TR" w:bidi="tr-TR"/>
        </w:rPr>
        <w:t>Elektronik başvuru yapmadan önce “Başvuru Sahipleri İçin Rehber” doküman ve tüm detayları içeren “Çağrı Metni” tam olarak incelenmelidir. Çağrı me</w:t>
      </w:r>
      <w:r w:rsidR="004418C9">
        <w:rPr>
          <w:szCs w:val="24"/>
          <w:lang w:val="tr-TR" w:bidi="tr-TR"/>
        </w:rPr>
        <w:t>t</w:t>
      </w:r>
      <w:r w:rsidRPr="00DE10DA">
        <w:rPr>
          <w:szCs w:val="24"/>
          <w:lang w:val="tr-TR" w:bidi="tr-TR"/>
        </w:rPr>
        <w:t>ni ve diğer ilgili dokümanlar aşağıdaki sayfada bulunmaktadır:</w:t>
      </w:r>
    </w:p>
    <w:p w:rsidR="009A7B11" w:rsidRPr="00FF2DA7" w:rsidRDefault="00AE21F5" w:rsidP="00416D28">
      <w:pPr>
        <w:pStyle w:val="Gvdemetni0"/>
        <w:shd w:val="clear" w:color="auto" w:fill="auto"/>
        <w:spacing w:after="260" w:line="276" w:lineRule="auto"/>
        <w:rPr>
          <w:b/>
          <w:szCs w:val="24"/>
          <w:lang w:val="tr-TR"/>
        </w:rPr>
      </w:pPr>
      <w:hyperlink r:id="rId8" w:history="1">
        <w:r w:rsidR="00D719C9" w:rsidRPr="006C715C">
          <w:rPr>
            <w:rStyle w:val="Kpr"/>
            <w:b/>
            <w:szCs w:val="24"/>
            <w:lang w:val="tr-TR"/>
          </w:rPr>
          <w:t>https://ec.europa.eu/easme/en/section/cosme/cos-clusint-2019-3-01-clusters-go-international</w:t>
        </w:r>
      </w:hyperlink>
    </w:p>
    <w:sectPr w:rsidR="009A7B11" w:rsidRPr="00FF2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1F5" w:rsidRDefault="00AE21F5" w:rsidP="001B7BDA">
      <w:pPr>
        <w:spacing w:after="0" w:line="240" w:lineRule="auto"/>
      </w:pPr>
      <w:r>
        <w:separator/>
      </w:r>
    </w:p>
  </w:endnote>
  <w:endnote w:type="continuationSeparator" w:id="0">
    <w:p w:rsidR="00AE21F5" w:rsidRDefault="00AE21F5" w:rsidP="001B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1F5" w:rsidRDefault="00AE21F5" w:rsidP="001B7BDA">
      <w:pPr>
        <w:spacing w:after="0" w:line="240" w:lineRule="auto"/>
      </w:pPr>
      <w:r>
        <w:separator/>
      </w:r>
    </w:p>
  </w:footnote>
  <w:footnote w:type="continuationSeparator" w:id="0">
    <w:p w:rsidR="00AE21F5" w:rsidRDefault="00AE21F5" w:rsidP="001B7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46E1"/>
    <w:multiLevelType w:val="hybridMultilevel"/>
    <w:tmpl w:val="DA00F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014DA"/>
    <w:multiLevelType w:val="hybridMultilevel"/>
    <w:tmpl w:val="54883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E4D72"/>
    <w:multiLevelType w:val="multilevel"/>
    <w:tmpl w:val="A160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0E7C3A"/>
    <w:multiLevelType w:val="hybridMultilevel"/>
    <w:tmpl w:val="04F21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37689"/>
    <w:multiLevelType w:val="hybridMultilevel"/>
    <w:tmpl w:val="6B448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26D88"/>
    <w:multiLevelType w:val="hybridMultilevel"/>
    <w:tmpl w:val="99DAE8C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180C90"/>
    <w:multiLevelType w:val="multilevel"/>
    <w:tmpl w:val="2E4E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96"/>
    <w:rsid w:val="000703A3"/>
    <w:rsid w:val="000721BC"/>
    <w:rsid w:val="00087B4F"/>
    <w:rsid w:val="000E3EA8"/>
    <w:rsid w:val="00166EA4"/>
    <w:rsid w:val="00174111"/>
    <w:rsid w:val="00181F55"/>
    <w:rsid w:val="00191106"/>
    <w:rsid w:val="001960F4"/>
    <w:rsid w:val="001B7BDA"/>
    <w:rsid w:val="001C5991"/>
    <w:rsid w:val="00203914"/>
    <w:rsid w:val="0023634F"/>
    <w:rsid w:val="002623A1"/>
    <w:rsid w:val="00266CDA"/>
    <w:rsid w:val="002840F4"/>
    <w:rsid w:val="00293F9C"/>
    <w:rsid w:val="002941BA"/>
    <w:rsid w:val="002D68DC"/>
    <w:rsid w:val="00320E45"/>
    <w:rsid w:val="00342AF6"/>
    <w:rsid w:val="003515E9"/>
    <w:rsid w:val="00372865"/>
    <w:rsid w:val="003D11A4"/>
    <w:rsid w:val="00416D28"/>
    <w:rsid w:val="0042596F"/>
    <w:rsid w:val="004418C9"/>
    <w:rsid w:val="00441AFF"/>
    <w:rsid w:val="004840FF"/>
    <w:rsid w:val="004B5328"/>
    <w:rsid w:val="004C04D8"/>
    <w:rsid w:val="00550FDC"/>
    <w:rsid w:val="005768BF"/>
    <w:rsid w:val="005F1AE6"/>
    <w:rsid w:val="0061277C"/>
    <w:rsid w:val="006528E3"/>
    <w:rsid w:val="00657154"/>
    <w:rsid w:val="00697A6B"/>
    <w:rsid w:val="006A3ACA"/>
    <w:rsid w:val="006A63FB"/>
    <w:rsid w:val="006C715C"/>
    <w:rsid w:val="006C7D20"/>
    <w:rsid w:val="00700550"/>
    <w:rsid w:val="007235F4"/>
    <w:rsid w:val="00735AFD"/>
    <w:rsid w:val="00740E61"/>
    <w:rsid w:val="007771FE"/>
    <w:rsid w:val="007B6C11"/>
    <w:rsid w:val="007B71E0"/>
    <w:rsid w:val="007D5A30"/>
    <w:rsid w:val="00822F63"/>
    <w:rsid w:val="008257A3"/>
    <w:rsid w:val="0083654D"/>
    <w:rsid w:val="0084095C"/>
    <w:rsid w:val="008600E5"/>
    <w:rsid w:val="008620D2"/>
    <w:rsid w:val="00864CF9"/>
    <w:rsid w:val="00882888"/>
    <w:rsid w:val="008B202D"/>
    <w:rsid w:val="008D223D"/>
    <w:rsid w:val="008E6450"/>
    <w:rsid w:val="008F74D5"/>
    <w:rsid w:val="00982ACA"/>
    <w:rsid w:val="009A7B11"/>
    <w:rsid w:val="009B73E1"/>
    <w:rsid w:val="00A25172"/>
    <w:rsid w:val="00A26C02"/>
    <w:rsid w:val="00AA243A"/>
    <w:rsid w:val="00AB39D6"/>
    <w:rsid w:val="00AD2BB4"/>
    <w:rsid w:val="00AD47C3"/>
    <w:rsid w:val="00AE21F5"/>
    <w:rsid w:val="00AE3E5C"/>
    <w:rsid w:val="00B72291"/>
    <w:rsid w:val="00BA6276"/>
    <w:rsid w:val="00BD277A"/>
    <w:rsid w:val="00BE3FF8"/>
    <w:rsid w:val="00C5119A"/>
    <w:rsid w:val="00C56370"/>
    <w:rsid w:val="00CA3F5A"/>
    <w:rsid w:val="00CB7AE0"/>
    <w:rsid w:val="00CC4DC0"/>
    <w:rsid w:val="00D0025A"/>
    <w:rsid w:val="00D07096"/>
    <w:rsid w:val="00D66B57"/>
    <w:rsid w:val="00D719C9"/>
    <w:rsid w:val="00DA7C41"/>
    <w:rsid w:val="00DD48AA"/>
    <w:rsid w:val="00DE10DA"/>
    <w:rsid w:val="00E02477"/>
    <w:rsid w:val="00E1208C"/>
    <w:rsid w:val="00E93C6D"/>
    <w:rsid w:val="00EA63A2"/>
    <w:rsid w:val="00EC3140"/>
    <w:rsid w:val="00EC5CBC"/>
    <w:rsid w:val="00F21B54"/>
    <w:rsid w:val="00F2557F"/>
    <w:rsid w:val="00F25A99"/>
    <w:rsid w:val="00FE16FB"/>
    <w:rsid w:val="00FE49E3"/>
    <w:rsid w:val="00FF2DA7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B691D-F33C-4AE6-8594-13CE7D39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7BDA"/>
  </w:style>
  <w:style w:type="paragraph" w:styleId="AltBilgi">
    <w:name w:val="footer"/>
    <w:basedOn w:val="Normal"/>
    <w:link w:val="AltBilgiChar"/>
    <w:uiPriority w:val="99"/>
    <w:unhideWhenUsed/>
    <w:rsid w:val="001B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7BDA"/>
  </w:style>
  <w:style w:type="character" w:customStyle="1" w:styleId="Gvdemetni">
    <w:name w:val="Gövde metni_"/>
    <w:basedOn w:val="VarsaylanParagrafYazTipi"/>
    <w:link w:val="Gvdemetni0"/>
    <w:rsid w:val="00BD27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D277A"/>
    <w:pPr>
      <w:widowControl w:val="0"/>
      <w:shd w:val="clear" w:color="auto" w:fill="FFFFFF"/>
      <w:spacing w:after="240" w:line="240" w:lineRule="auto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42596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42AF6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D2B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asme/en/section/cosme/cos-clusint-2019-3-01-clusters-go-internation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A759C-21A1-463C-A4CD-D8E38A5B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Şener</dc:creator>
  <cp:keywords/>
  <dc:description/>
  <cp:lastModifiedBy>Abdullah AKTEPE</cp:lastModifiedBy>
  <cp:revision>2</cp:revision>
  <dcterms:created xsi:type="dcterms:W3CDTF">2019-11-29T07:23:00Z</dcterms:created>
  <dcterms:modified xsi:type="dcterms:W3CDTF">2019-11-29T07:23:00Z</dcterms:modified>
</cp:coreProperties>
</file>